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bidi w:val="0"/>
        <w:adjustRightInd w:val="0"/>
        <w:snapToGrid w:val="0"/>
        <w:spacing w:line="560" w:lineRule="exact"/>
        <w:ind w:left="0" w:leftChars="0"/>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w:t>
      </w:r>
      <w:r>
        <w:rPr>
          <w:rFonts w:hint="eastAsia" w:ascii="Times New Roman" w:hAnsi="Times New Roman" w:eastAsia="方正小标宋简体" w:cs="Times New Roman"/>
          <w:sz w:val="44"/>
          <w:szCs w:val="44"/>
          <w:lang w:eastAsia="zh-CN"/>
        </w:rPr>
        <w:t>公共机构绿色办公区</w:t>
      </w:r>
      <w:r>
        <w:rPr>
          <w:rFonts w:hint="eastAsia" w:ascii="Times New Roman" w:hAnsi="Times New Roman" w:eastAsia="方正小标宋简体" w:cs="Times New Roman"/>
          <w:sz w:val="44"/>
          <w:szCs w:val="44"/>
          <w:lang w:val="en-US" w:eastAsia="zh-CN"/>
        </w:rPr>
        <w:t>管理规范</w:t>
      </w:r>
      <w:r>
        <w:rPr>
          <w:rFonts w:hint="default" w:ascii="Times New Roman" w:hAnsi="Times New Roman" w:eastAsia="方正小标宋简体" w:cs="Times New Roman"/>
          <w:sz w:val="44"/>
          <w:szCs w:val="44"/>
        </w:rPr>
        <w:t>》标准</w:t>
      </w:r>
    </w:p>
    <w:p>
      <w:pPr>
        <w:keepNext w:val="0"/>
        <w:keepLines w:val="0"/>
        <w:pageBreakBefore w:val="0"/>
        <w:kinsoku/>
        <w:wordWrap/>
        <w:topLinePunct w:val="0"/>
        <w:bidi w:val="0"/>
        <w:adjustRightInd w:val="0"/>
        <w:snapToGrid w:val="0"/>
        <w:spacing w:line="560" w:lineRule="exact"/>
        <w:ind w:left="0" w:leftChars="0"/>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编制说明</w:t>
      </w:r>
    </w:p>
    <w:p>
      <w:pPr>
        <w:keepNext w:val="0"/>
        <w:keepLines w:val="0"/>
        <w:pageBreakBefore w:val="0"/>
        <w:shd w:val="clear"/>
        <w:kinsoku/>
        <w:wordWrap/>
        <w:overflowPunct w:val="0"/>
        <w:topLinePunct w:val="0"/>
        <w:autoSpaceDE w:val="0"/>
        <w:autoSpaceDN w:val="0"/>
        <w:bidi w:val="0"/>
        <w:adjustRightInd w:val="0"/>
        <w:snapToGrid w:val="0"/>
        <w:spacing w:line="560" w:lineRule="exact"/>
        <w:textAlignment w:val="auto"/>
        <w:rPr>
          <w:rFonts w:hint="default" w:ascii="Times New Roman" w:hAnsi="Times New Roman" w:eastAsia="黑体" w:cs="Times New Roman"/>
          <w:color w:val="000000"/>
          <w:sz w:val="32"/>
          <w:szCs w:val="32"/>
          <w:highlight w:val="none"/>
        </w:rPr>
      </w:pPr>
    </w:p>
    <w:p>
      <w:pPr>
        <w:keepNext w:val="0"/>
        <w:keepLines w:val="0"/>
        <w:pageBreakBefore w:val="0"/>
        <w:widowControl w:val="0"/>
        <w:shd w:val="clear"/>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黑体" w:cs="Times New Roman"/>
          <w:color w:val="000000"/>
          <w:sz w:val="32"/>
          <w:szCs w:val="32"/>
          <w:highlight w:val="none"/>
          <w:lang w:val="en-US" w:eastAsia="zh-CN"/>
        </w:rPr>
      </w:pPr>
      <w:r>
        <w:rPr>
          <w:rFonts w:hint="default" w:ascii="Times New Roman" w:hAnsi="Times New Roman" w:eastAsia="黑体" w:cs="Times New Roman"/>
          <w:color w:val="000000"/>
          <w:sz w:val="32"/>
          <w:szCs w:val="32"/>
          <w:highlight w:val="none"/>
        </w:rPr>
        <w:t>一、</w:t>
      </w:r>
      <w:r>
        <w:rPr>
          <w:rFonts w:hint="eastAsia" w:ascii="Times New Roman" w:hAnsi="Times New Roman" w:eastAsia="黑体" w:cs="Times New Roman"/>
          <w:color w:val="000000"/>
          <w:sz w:val="32"/>
          <w:szCs w:val="32"/>
          <w:highlight w:val="none"/>
          <w:lang w:val="en-US" w:eastAsia="zh-CN"/>
        </w:rPr>
        <w:t>工作简况</w:t>
      </w:r>
    </w:p>
    <w:p>
      <w:pPr>
        <w:keepNext w:val="0"/>
        <w:keepLines w:val="0"/>
        <w:pageBreakBefore w:val="0"/>
        <w:shd w:val="clear"/>
        <w:kinsoku/>
        <w:wordWrap/>
        <w:overflowPunct w:val="0"/>
        <w:topLinePunct w:val="0"/>
        <w:autoSpaceDE w:val="0"/>
        <w:autoSpaceDN w:val="0"/>
        <w:bidi w:val="0"/>
        <w:adjustRightInd w:val="0"/>
        <w:snapToGrid w:val="0"/>
        <w:spacing w:line="560" w:lineRule="exact"/>
        <w:ind w:firstLine="643" w:firstLineChars="200"/>
        <w:textAlignment w:val="auto"/>
        <w:rPr>
          <w:rFonts w:hint="default" w:ascii="Times New Roman" w:hAnsi="Times New Roman" w:eastAsia="黑体" w:cs="Times New Roman"/>
          <w:color w:val="000000"/>
          <w:sz w:val="28"/>
          <w:szCs w:val="28"/>
          <w:highlight w:val="none"/>
          <w:lang w:val="en-US" w:eastAsia="zh-CN"/>
        </w:rPr>
      </w:pPr>
      <w:r>
        <w:rPr>
          <w:rFonts w:hint="default" w:ascii="Times New Roman" w:hAnsi="Times New Roman" w:eastAsia="楷体_GB2312" w:cs="Times New Roman"/>
          <w:b/>
          <w:bCs/>
          <w:color w:val="000000"/>
          <w:sz w:val="32"/>
          <w:szCs w:val="32"/>
        </w:rPr>
        <w:t>（一）</w:t>
      </w:r>
      <w:r>
        <w:rPr>
          <w:rFonts w:hint="eastAsia" w:ascii="Times New Roman" w:hAnsi="Times New Roman" w:eastAsia="黑体" w:cs="Times New Roman"/>
          <w:color w:val="000000"/>
          <w:sz w:val="28"/>
          <w:szCs w:val="28"/>
          <w:highlight w:val="none"/>
          <w:lang w:val="en-US" w:eastAsia="zh-CN"/>
        </w:rPr>
        <w:t>任务来源</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根据《省市场监管局关于印发 2023年度江苏省地方标准申报指南的通知》</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苏市监标〔2023〕24号</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常州市机关事务管理局于20</w:t>
      </w:r>
      <w:r>
        <w:rPr>
          <w:rFonts w:hint="default"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w:t>
      </w: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月向</w:t>
      </w:r>
      <w:r>
        <w:rPr>
          <w:rFonts w:hint="eastAsia" w:ascii="Times New Roman" w:hAnsi="Times New Roman" w:eastAsia="仿宋_GB2312" w:cs="Times New Roman"/>
          <w:color w:val="000000"/>
          <w:sz w:val="32"/>
          <w:szCs w:val="32"/>
          <w:lang w:val="en-US" w:eastAsia="zh-CN"/>
        </w:rPr>
        <w:t>江苏省</w:t>
      </w:r>
      <w:r>
        <w:rPr>
          <w:rFonts w:hint="default" w:ascii="Times New Roman" w:hAnsi="Times New Roman" w:eastAsia="仿宋_GB2312" w:cs="Times New Roman"/>
          <w:color w:val="000000"/>
          <w:sz w:val="32"/>
          <w:szCs w:val="32"/>
        </w:rPr>
        <w:t>市场监督管理局提出《</w:t>
      </w:r>
      <w:r>
        <w:rPr>
          <w:rFonts w:hint="eastAsia" w:ascii="Times New Roman" w:hAnsi="Times New Roman" w:eastAsia="仿宋_GB2312" w:cs="Times New Roman"/>
          <w:color w:val="000000"/>
          <w:sz w:val="32"/>
          <w:szCs w:val="32"/>
          <w:lang w:eastAsia="zh-CN"/>
        </w:rPr>
        <w:t>公共机构绿色办公区</w:t>
      </w:r>
      <w:r>
        <w:rPr>
          <w:rFonts w:hint="eastAsia" w:ascii="Times New Roman" w:hAnsi="Times New Roman" w:eastAsia="仿宋_GB2312" w:cs="Times New Roman"/>
          <w:color w:val="000000"/>
          <w:sz w:val="32"/>
          <w:szCs w:val="32"/>
          <w:lang w:val="en-US" w:eastAsia="zh-CN"/>
        </w:rPr>
        <w:t>管理规范</w:t>
      </w:r>
      <w:r>
        <w:rPr>
          <w:rFonts w:hint="default"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val="en-US" w:eastAsia="zh-CN"/>
        </w:rPr>
        <w:t>省</w:t>
      </w:r>
      <w:r>
        <w:rPr>
          <w:rFonts w:hint="default" w:ascii="Times New Roman" w:hAnsi="Times New Roman" w:eastAsia="仿宋_GB2312" w:cs="Times New Roman"/>
          <w:color w:val="000000"/>
          <w:sz w:val="32"/>
          <w:szCs w:val="32"/>
        </w:rPr>
        <w:t>地方标准立项申请</w:t>
      </w:r>
      <w:r>
        <w:rPr>
          <w:rFonts w:hint="eastAsia" w:ascii="Times New Roman" w:hAnsi="Times New Roman" w:eastAsia="仿宋_GB2312" w:cs="Times New Roman"/>
          <w:color w:val="000000"/>
          <w:sz w:val="32"/>
          <w:szCs w:val="32"/>
          <w:lang w:val="en-US" w:eastAsia="zh-CN"/>
        </w:rPr>
        <w:t>,7月通过标准立项。确定标准名称为</w:t>
      </w:r>
      <w:r>
        <w:rPr>
          <w:rFonts w:hint="default"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公共机构绿色办公区</w:t>
      </w:r>
      <w:r>
        <w:rPr>
          <w:rFonts w:hint="eastAsia" w:ascii="Times New Roman" w:hAnsi="Times New Roman" w:eastAsia="仿宋_GB2312" w:cs="Times New Roman"/>
          <w:color w:val="000000"/>
          <w:sz w:val="32"/>
          <w:szCs w:val="32"/>
          <w:lang w:val="en-US" w:eastAsia="zh-CN"/>
        </w:rPr>
        <w:t>管理规范</w:t>
      </w:r>
      <w:r>
        <w:rPr>
          <w:rFonts w:hint="default" w:ascii="Times New Roman" w:hAnsi="Times New Roman" w:eastAsia="仿宋_GB2312" w:cs="Times New Roman"/>
          <w:color w:val="000000"/>
          <w:sz w:val="32"/>
          <w:szCs w:val="32"/>
        </w:rPr>
        <w:t>》。</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本标准由常州市机关事务管理局提出，江苏省机关事务管理局归口。</w:t>
      </w:r>
    </w:p>
    <w:p>
      <w:pPr>
        <w:keepNext w:val="0"/>
        <w:keepLines w:val="0"/>
        <w:pageBreakBefore w:val="0"/>
        <w:shd w:val="clear"/>
        <w:kinsoku/>
        <w:wordWrap/>
        <w:overflowPunct w:val="0"/>
        <w:topLinePunct w:val="0"/>
        <w:autoSpaceDE w:val="0"/>
        <w:autoSpaceDN w:val="0"/>
        <w:bidi w:val="0"/>
        <w:adjustRightInd w:val="0"/>
        <w:snapToGrid w:val="0"/>
        <w:spacing w:line="560" w:lineRule="exact"/>
        <w:ind w:firstLine="643" w:firstLineChars="200"/>
        <w:textAlignment w:val="auto"/>
        <w:rPr>
          <w:rFonts w:hint="eastAsia" w:ascii="黑体" w:hAnsi="黑体" w:eastAsia="黑体" w:cs="黑体"/>
          <w:color w:val="000000"/>
          <w:sz w:val="28"/>
          <w:szCs w:val="28"/>
          <w:highlight w:val="none"/>
          <w:lang w:val="en-US" w:eastAsia="zh-CN"/>
        </w:rPr>
      </w:pPr>
      <w:r>
        <w:rPr>
          <w:rFonts w:hint="default" w:ascii="Times New Roman" w:hAnsi="Times New Roman" w:eastAsia="楷体_GB2312" w:cs="Times New Roman"/>
          <w:b/>
          <w:bCs/>
          <w:color w:val="000000"/>
          <w:sz w:val="32"/>
          <w:szCs w:val="32"/>
        </w:rPr>
        <w:t>（</w:t>
      </w:r>
      <w:r>
        <w:rPr>
          <w:rFonts w:hint="eastAsia" w:ascii="Times New Roman" w:hAnsi="Times New Roman" w:eastAsia="楷体_GB2312" w:cs="Times New Roman"/>
          <w:b/>
          <w:bCs/>
          <w:color w:val="000000"/>
          <w:sz w:val="32"/>
          <w:szCs w:val="32"/>
          <w:lang w:val="en-US" w:eastAsia="zh-CN"/>
        </w:rPr>
        <w:t>二</w:t>
      </w:r>
      <w:r>
        <w:rPr>
          <w:rFonts w:hint="default" w:ascii="Times New Roman" w:hAnsi="Times New Roman" w:eastAsia="楷体_GB2312" w:cs="Times New Roman"/>
          <w:b/>
          <w:bCs/>
          <w:color w:val="000000"/>
          <w:sz w:val="32"/>
          <w:szCs w:val="32"/>
        </w:rPr>
        <w:t>）</w:t>
      </w:r>
      <w:r>
        <w:rPr>
          <w:rFonts w:hint="eastAsia" w:ascii="黑体" w:hAnsi="黑体" w:eastAsia="黑体" w:cs="黑体"/>
          <w:color w:val="000000"/>
          <w:sz w:val="28"/>
          <w:szCs w:val="28"/>
          <w:highlight w:val="none"/>
          <w:lang w:val="en-US" w:eastAsia="zh-CN"/>
        </w:rPr>
        <w:t>主要工作过程</w:t>
      </w:r>
    </w:p>
    <w:p>
      <w:pPr>
        <w:keepNext w:val="0"/>
        <w:keepLines w:val="0"/>
        <w:pageBreakBefore w:val="0"/>
        <w:kinsoku/>
        <w:wordWrap/>
        <w:overflowPunct w:val="0"/>
        <w:topLinePunct w:val="0"/>
        <w:autoSpaceDE w:val="0"/>
        <w:autoSpaceDN w:val="0"/>
        <w:bidi w:val="0"/>
        <w:adjustRightInd w:val="0"/>
        <w:snapToGrid w:val="0"/>
        <w:spacing w:line="560" w:lineRule="exact"/>
        <w:ind w:firstLine="643" w:firstLineChars="200"/>
        <w:textAlignment w:val="auto"/>
        <w:rPr>
          <w:rFonts w:hint="default" w:ascii="Times New Roman" w:hAnsi="Times New Roman" w:eastAsia="楷体_GB2312" w:cs="Times New Roman"/>
          <w:b/>
          <w:bCs/>
          <w:color w:val="000000"/>
          <w:sz w:val="32"/>
          <w:szCs w:val="32"/>
        </w:rPr>
      </w:pPr>
      <w:r>
        <w:rPr>
          <w:rFonts w:hint="eastAsia" w:ascii="Times New Roman" w:hAnsi="Times New Roman" w:eastAsia="楷体_GB2312" w:cs="Times New Roman"/>
          <w:b/>
          <w:bCs/>
          <w:color w:val="000000"/>
          <w:sz w:val="32"/>
          <w:szCs w:val="32"/>
          <w:lang w:val="en-US" w:eastAsia="zh-CN"/>
        </w:rPr>
        <w:t>1、</w:t>
      </w:r>
      <w:r>
        <w:rPr>
          <w:rFonts w:hint="default" w:ascii="Times New Roman" w:hAnsi="Times New Roman" w:eastAsia="楷体_GB2312" w:cs="Times New Roman"/>
          <w:b/>
          <w:bCs/>
          <w:color w:val="000000"/>
          <w:sz w:val="32"/>
          <w:szCs w:val="32"/>
        </w:rPr>
        <w:t>修订完善标准草稿，申报立项。（</w:t>
      </w:r>
      <w:r>
        <w:rPr>
          <w:rFonts w:hint="eastAsia" w:ascii="Times New Roman" w:hAnsi="Times New Roman" w:eastAsia="楷体_GB2312" w:cs="Times New Roman"/>
          <w:b/>
          <w:bCs/>
          <w:color w:val="000000"/>
          <w:sz w:val="32"/>
          <w:szCs w:val="32"/>
          <w:lang w:eastAsia="zh-CN"/>
        </w:rPr>
        <w:t>202</w:t>
      </w:r>
      <w:r>
        <w:rPr>
          <w:rFonts w:hint="eastAsia" w:ascii="Times New Roman" w:hAnsi="Times New Roman" w:eastAsia="楷体_GB2312" w:cs="Times New Roman"/>
          <w:b/>
          <w:bCs/>
          <w:color w:val="000000"/>
          <w:sz w:val="32"/>
          <w:szCs w:val="32"/>
          <w:lang w:val="en-US" w:eastAsia="zh-CN"/>
        </w:rPr>
        <w:t>3</w:t>
      </w:r>
      <w:r>
        <w:rPr>
          <w:rFonts w:hint="default" w:ascii="Times New Roman" w:hAnsi="Times New Roman" w:eastAsia="楷体_GB2312" w:cs="Times New Roman"/>
          <w:b/>
          <w:bCs/>
          <w:color w:val="000000"/>
          <w:sz w:val="32"/>
          <w:szCs w:val="32"/>
        </w:rPr>
        <w:t>年</w:t>
      </w:r>
      <w:r>
        <w:rPr>
          <w:rFonts w:hint="eastAsia" w:ascii="Times New Roman" w:hAnsi="Times New Roman" w:eastAsia="楷体_GB2312" w:cs="Times New Roman"/>
          <w:b/>
          <w:bCs/>
          <w:color w:val="000000"/>
          <w:sz w:val="32"/>
          <w:szCs w:val="32"/>
          <w:lang w:val="en-US" w:eastAsia="zh-CN"/>
        </w:rPr>
        <w:t>3</w:t>
      </w:r>
      <w:r>
        <w:rPr>
          <w:rFonts w:hint="default" w:ascii="Times New Roman" w:hAnsi="Times New Roman" w:eastAsia="楷体_GB2312" w:cs="Times New Roman"/>
          <w:b/>
          <w:bCs/>
          <w:color w:val="000000"/>
          <w:sz w:val="32"/>
          <w:szCs w:val="32"/>
        </w:rPr>
        <w:t>月－</w:t>
      </w:r>
      <w:r>
        <w:rPr>
          <w:rFonts w:hint="eastAsia" w:ascii="Times New Roman" w:hAnsi="Times New Roman" w:eastAsia="楷体_GB2312" w:cs="Times New Roman"/>
          <w:b/>
          <w:bCs/>
          <w:color w:val="000000"/>
          <w:sz w:val="32"/>
          <w:szCs w:val="32"/>
          <w:lang w:eastAsia="zh-CN"/>
        </w:rPr>
        <w:t>202</w:t>
      </w:r>
      <w:r>
        <w:rPr>
          <w:rFonts w:hint="eastAsia" w:ascii="Times New Roman" w:hAnsi="Times New Roman" w:eastAsia="楷体_GB2312" w:cs="Times New Roman"/>
          <w:b/>
          <w:bCs/>
          <w:color w:val="000000"/>
          <w:sz w:val="32"/>
          <w:szCs w:val="32"/>
          <w:lang w:val="en-US" w:eastAsia="zh-CN"/>
        </w:rPr>
        <w:t>3</w:t>
      </w:r>
      <w:r>
        <w:rPr>
          <w:rFonts w:hint="default" w:ascii="Times New Roman" w:hAnsi="Times New Roman" w:eastAsia="楷体_GB2312" w:cs="Times New Roman"/>
          <w:b/>
          <w:bCs/>
          <w:color w:val="000000"/>
          <w:sz w:val="32"/>
          <w:szCs w:val="32"/>
        </w:rPr>
        <w:t>年</w:t>
      </w:r>
      <w:r>
        <w:rPr>
          <w:rFonts w:hint="eastAsia" w:ascii="Times New Roman" w:hAnsi="Times New Roman" w:eastAsia="楷体_GB2312" w:cs="Times New Roman"/>
          <w:b/>
          <w:bCs/>
          <w:color w:val="000000"/>
          <w:sz w:val="32"/>
          <w:szCs w:val="32"/>
          <w:lang w:val="en-US" w:eastAsia="zh-CN"/>
        </w:rPr>
        <w:t>7</w:t>
      </w:r>
      <w:r>
        <w:rPr>
          <w:rFonts w:hint="default" w:ascii="Times New Roman" w:hAnsi="Times New Roman" w:eastAsia="楷体_GB2312" w:cs="Times New Roman"/>
          <w:b/>
          <w:bCs/>
          <w:color w:val="000000"/>
          <w:sz w:val="32"/>
          <w:szCs w:val="32"/>
        </w:rPr>
        <w:t>月）</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成立</w:t>
      </w:r>
      <w:r>
        <w:rPr>
          <w:rFonts w:hint="eastAsia" w:ascii="Times New Roman" w:hAnsi="Times New Roman" w:eastAsia="仿宋_GB2312" w:cs="Times New Roman"/>
          <w:color w:val="000000"/>
          <w:sz w:val="32"/>
          <w:szCs w:val="32"/>
          <w:lang w:val="en-US" w:eastAsia="zh-CN"/>
        </w:rPr>
        <w:t>由局分管领导牵头的</w:t>
      </w:r>
      <w:r>
        <w:rPr>
          <w:rFonts w:hint="default" w:ascii="Times New Roman" w:hAnsi="Times New Roman" w:eastAsia="仿宋_GB2312" w:cs="Times New Roman"/>
          <w:color w:val="000000"/>
          <w:sz w:val="32"/>
          <w:szCs w:val="32"/>
        </w:rPr>
        <w:t>标准编制工作专班，开展项目立项前各项准备工作，收集</w:t>
      </w:r>
      <w:r>
        <w:rPr>
          <w:rFonts w:hint="default" w:ascii="Times New Roman" w:hAnsi="Times New Roman" w:eastAsia="仿宋_GB2312" w:cs="Times New Roman"/>
          <w:color w:val="000000"/>
          <w:sz w:val="32"/>
          <w:szCs w:val="32"/>
          <w:lang w:eastAsia="zh-CN"/>
        </w:rPr>
        <w:t>各类</w:t>
      </w:r>
      <w:r>
        <w:rPr>
          <w:rFonts w:hint="default" w:ascii="Times New Roman" w:hAnsi="Times New Roman" w:eastAsia="仿宋_GB2312" w:cs="Times New Roman"/>
          <w:color w:val="000000"/>
          <w:sz w:val="32"/>
          <w:szCs w:val="32"/>
        </w:rPr>
        <w:t>资料和有关数据，加强技术分析，修订完善标准框架和内容；在</w:t>
      </w:r>
      <w:r>
        <w:rPr>
          <w:rFonts w:hint="default" w:ascii="Times New Roman" w:hAnsi="Times New Roman" w:eastAsia="仿宋_GB2312" w:cs="Times New Roman"/>
          <w:color w:val="000000"/>
          <w:sz w:val="32"/>
          <w:szCs w:val="32"/>
          <w:lang w:eastAsia="zh-CN"/>
        </w:rPr>
        <w:t>市场监督管理</w:t>
      </w:r>
      <w:r>
        <w:rPr>
          <w:rFonts w:hint="default" w:ascii="Times New Roman" w:hAnsi="Times New Roman" w:eastAsia="仿宋_GB2312" w:cs="Times New Roman"/>
          <w:color w:val="000000"/>
          <w:sz w:val="32"/>
          <w:szCs w:val="32"/>
        </w:rPr>
        <w:t>局的指导下，精心准备有关材料，申请标准立项。</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3" w:firstLineChars="200"/>
        <w:textAlignment w:val="auto"/>
        <w:rPr>
          <w:rFonts w:hint="default" w:ascii="Times New Roman" w:hAnsi="Times New Roman" w:eastAsia="楷体_GB2312" w:cs="Times New Roman"/>
          <w:b/>
          <w:bCs/>
          <w:color w:val="000000"/>
          <w:sz w:val="32"/>
          <w:szCs w:val="32"/>
        </w:rPr>
      </w:pPr>
      <w:r>
        <w:rPr>
          <w:rFonts w:hint="eastAsia" w:ascii="Times New Roman" w:hAnsi="Times New Roman" w:eastAsia="楷体_GB2312" w:cs="Times New Roman"/>
          <w:b/>
          <w:bCs/>
          <w:color w:val="000000"/>
          <w:sz w:val="32"/>
          <w:szCs w:val="32"/>
          <w:lang w:val="en-US" w:eastAsia="zh-CN"/>
        </w:rPr>
        <w:t>2、</w:t>
      </w:r>
      <w:r>
        <w:rPr>
          <w:rFonts w:hint="default" w:ascii="Times New Roman" w:hAnsi="Times New Roman" w:eastAsia="楷体_GB2312" w:cs="Times New Roman"/>
          <w:b/>
          <w:bCs/>
          <w:color w:val="000000"/>
          <w:sz w:val="32"/>
          <w:szCs w:val="32"/>
        </w:rPr>
        <w:t>开展</w:t>
      </w:r>
      <w:r>
        <w:rPr>
          <w:rFonts w:hint="eastAsia" w:ascii="Times New Roman" w:hAnsi="Times New Roman" w:eastAsia="楷体_GB2312" w:cs="Times New Roman"/>
          <w:b/>
          <w:bCs/>
          <w:color w:val="000000"/>
          <w:sz w:val="32"/>
          <w:szCs w:val="32"/>
          <w:lang w:val="en-US" w:eastAsia="zh-CN"/>
        </w:rPr>
        <w:t>讨论</w:t>
      </w:r>
      <w:r>
        <w:rPr>
          <w:rFonts w:hint="default" w:ascii="Times New Roman" w:hAnsi="Times New Roman" w:eastAsia="楷体_GB2312" w:cs="Times New Roman"/>
          <w:b/>
          <w:bCs/>
          <w:color w:val="000000"/>
          <w:sz w:val="32"/>
          <w:szCs w:val="32"/>
        </w:rPr>
        <w:t>和调研，形成初稿。（</w:t>
      </w:r>
      <w:r>
        <w:rPr>
          <w:rFonts w:hint="eastAsia" w:ascii="Times New Roman" w:hAnsi="Times New Roman" w:eastAsia="楷体_GB2312" w:cs="Times New Roman"/>
          <w:b/>
          <w:bCs/>
          <w:color w:val="000000"/>
          <w:sz w:val="32"/>
          <w:szCs w:val="32"/>
          <w:lang w:eastAsia="zh-CN"/>
        </w:rPr>
        <w:t>2023</w:t>
      </w:r>
      <w:r>
        <w:rPr>
          <w:rFonts w:hint="default" w:ascii="Times New Roman" w:hAnsi="Times New Roman" w:eastAsia="楷体_GB2312" w:cs="Times New Roman"/>
          <w:b/>
          <w:bCs/>
          <w:color w:val="000000"/>
          <w:sz w:val="32"/>
          <w:szCs w:val="32"/>
        </w:rPr>
        <w:t>年</w:t>
      </w:r>
      <w:r>
        <w:rPr>
          <w:rFonts w:hint="eastAsia" w:ascii="Times New Roman" w:hAnsi="Times New Roman" w:eastAsia="楷体_GB2312" w:cs="Times New Roman"/>
          <w:b/>
          <w:bCs/>
          <w:color w:val="000000"/>
          <w:sz w:val="32"/>
          <w:szCs w:val="32"/>
          <w:lang w:val="en-US" w:eastAsia="zh-CN"/>
        </w:rPr>
        <w:t>7</w:t>
      </w:r>
      <w:r>
        <w:rPr>
          <w:rFonts w:hint="default" w:ascii="Times New Roman" w:hAnsi="Times New Roman" w:eastAsia="楷体_GB2312" w:cs="Times New Roman"/>
          <w:b/>
          <w:bCs/>
          <w:color w:val="000000"/>
          <w:sz w:val="32"/>
          <w:szCs w:val="32"/>
        </w:rPr>
        <w:t>月－</w:t>
      </w:r>
      <w:r>
        <w:rPr>
          <w:rFonts w:hint="eastAsia" w:ascii="Times New Roman" w:hAnsi="Times New Roman" w:eastAsia="楷体_GB2312" w:cs="Times New Roman"/>
          <w:b/>
          <w:bCs/>
          <w:color w:val="000000"/>
          <w:sz w:val="32"/>
          <w:szCs w:val="32"/>
          <w:lang w:val="en-US" w:eastAsia="zh-CN"/>
        </w:rPr>
        <w:t>12</w:t>
      </w:r>
      <w:r>
        <w:rPr>
          <w:rFonts w:hint="default" w:ascii="Times New Roman" w:hAnsi="Times New Roman" w:eastAsia="楷体_GB2312" w:cs="Times New Roman"/>
          <w:b/>
          <w:bCs/>
          <w:color w:val="000000"/>
          <w:sz w:val="32"/>
          <w:szCs w:val="32"/>
        </w:rPr>
        <w:t>月）</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起草小组讨论研究、反复修改，形成《</w:t>
      </w:r>
      <w:r>
        <w:rPr>
          <w:rFonts w:hint="eastAsia" w:ascii="Times New Roman" w:hAnsi="Times New Roman" w:eastAsia="仿宋_GB2312" w:cs="Times New Roman"/>
          <w:color w:val="000000"/>
          <w:sz w:val="32"/>
          <w:szCs w:val="32"/>
          <w:lang w:eastAsia="zh-CN"/>
        </w:rPr>
        <w:t>公共机构绿色办公区</w:t>
      </w:r>
      <w:r>
        <w:rPr>
          <w:rFonts w:hint="eastAsia" w:ascii="Times New Roman" w:hAnsi="Times New Roman" w:eastAsia="仿宋_GB2312" w:cs="Times New Roman"/>
          <w:color w:val="000000"/>
          <w:sz w:val="32"/>
          <w:szCs w:val="32"/>
          <w:lang w:val="en-US" w:eastAsia="zh-CN"/>
        </w:rPr>
        <w:t>管理规范</w:t>
      </w:r>
      <w:r>
        <w:rPr>
          <w:rFonts w:hint="default" w:ascii="Times New Roman" w:hAnsi="Times New Roman" w:eastAsia="仿宋_GB2312" w:cs="Times New Roman"/>
          <w:color w:val="000000"/>
          <w:sz w:val="32"/>
          <w:szCs w:val="32"/>
        </w:rPr>
        <w:t>》草稿；</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开展调研。起草小组赴</w:t>
      </w:r>
      <w:r>
        <w:rPr>
          <w:rFonts w:hint="eastAsia" w:ascii="Times New Roman" w:hAnsi="Times New Roman" w:eastAsia="仿宋_GB2312" w:cs="Times New Roman"/>
          <w:color w:val="000000"/>
          <w:sz w:val="32"/>
          <w:szCs w:val="32"/>
          <w:lang w:val="en-US" w:eastAsia="zh-CN"/>
        </w:rPr>
        <w:t>当地</w:t>
      </w:r>
      <w:r>
        <w:rPr>
          <w:rFonts w:hint="default" w:ascii="Times New Roman" w:hAnsi="Times New Roman" w:eastAsia="仿宋_GB2312" w:cs="Times New Roman"/>
          <w:color w:val="000000"/>
          <w:sz w:val="32"/>
          <w:szCs w:val="32"/>
        </w:rPr>
        <w:t>各</w:t>
      </w:r>
      <w:r>
        <w:rPr>
          <w:rFonts w:hint="default" w:ascii="Times New Roman" w:hAnsi="Times New Roman" w:eastAsia="仿宋_GB2312" w:cs="Times New Roman"/>
          <w:color w:val="000000"/>
          <w:sz w:val="32"/>
          <w:szCs w:val="32"/>
          <w:lang w:eastAsia="zh-CN"/>
        </w:rPr>
        <w:t>辖市区</w:t>
      </w:r>
      <w:r>
        <w:rPr>
          <w:rFonts w:hint="eastAsia" w:ascii="Times New Roman" w:hAnsi="Times New Roman" w:eastAsia="仿宋_GB2312" w:cs="Times New Roman"/>
          <w:color w:val="000000"/>
          <w:sz w:val="32"/>
          <w:szCs w:val="32"/>
          <w:lang w:val="en-US" w:eastAsia="zh-CN"/>
        </w:rPr>
        <w:t>及住建、水利等多部门</w:t>
      </w:r>
      <w:r>
        <w:rPr>
          <w:rFonts w:hint="default" w:ascii="Times New Roman" w:hAnsi="Times New Roman" w:eastAsia="仿宋_GB2312" w:cs="Times New Roman"/>
          <w:color w:val="000000"/>
          <w:sz w:val="32"/>
          <w:szCs w:val="32"/>
        </w:rPr>
        <w:t>开展调研，征集修改意见，收集相关资料；</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在调研的基础上，修改完善草稿，形成初稿。</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3" w:firstLineChars="200"/>
        <w:textAlignment w:val="auto"/>
        <w:rPr>
          <w:rFonts w:hint="default" w:ascii="Times New Roman" w:hAnsi="Times New Roman" w:eastAsia="楷体_GB2312" w:cs="Times New Roman"/>
          <w:b/>
          <w:bCs/>
          <w:color w:val="000000"/>
          <w:sz w:val="32"/>
          <w:szCs w:val="32"/>
        </w:rPr>
      </w:pPr>
      <w:r>
        <w:rPr>
          <w:rFonts w:hint="eastAsia" w:ascii="Times New Roman" w:hAnsi="Times New Roman" w:eastAsia="楷体_GB2312" w:cs="Times New Roman"/>
          <w:b/>
          <w:bCs/>
          <w:color w:val="000000"/>
          <w:sz w:val="32"/>
          <w:szCs w:val="32"/>
          <w:lang w:val="en-US" w:eastAsia="zh-CN"/>
        </w:rPr>
        <w:t>3、</w:t>
      </w:r>
      <w:r>
        <w:rPr>
          <w:rFonts w:hint="default" w:ascii="Times New Roman" w:hAnsi="Times New Roman" w:eastAsia="楷体_GB2312" w:cs="Times New Roman"/>
          <w:b/>
          <w:bCs/>
          <w:color w:val="000000"/>
          <w:sz w:val="32"/>
          <w:szCs w:val="32"/>
        </w:rPr>
        <w:t>召开标准推进工作会议，组织专家评估。（</w:t>
      </w:r>
      <w:r>
        <w:rPr>
          <w:rFonts w:hint="eastAsia" w:ascii="Times New Roman" w:hAnsi="Times New Roman" w:eastAsia="楷体_GB2312" w:cs="Times New Roman"/>
          <w:b/>
          <w:bCs/>
          <w:color w:val="000000"/>
          <w:sz w:val="32"/>
          <w:szCs w:val="32"/>
          <w:lang w:eastAsia="zh-CN"/>
        </w:rPr>
        <w:t>202</w:t>
      </w:r>
      <w:r>
        <w:rPr>
          <w:rFonts w:hint="eastAsia" w:ascii="Times New Roman" w:hAnsi="Times New Roman" w:eastAsia="楷体_GB2312" w:cs="Times New Roman"/>
          <w:b/>
          <w:bCs/>
          <w:color w:val="000000"/>
          <w:sz w:val="32"/>
          <w:szCs w:val="32"/>
          <w:lang w:val="en-US" w:eastAsia="zh-CN"/>
        </w:rPr>
        <w:t>4</w:t>
      </w:r>
      <w:r>
        <w:rPr>
          <w:rFonts w:hint="default" w:ascii="Times New Roman" w:hAnsi="Times New Roman" w:eastAsia="楷体_GB2312" w:cs="Times New Roman"/>
          <w:b/>
          <w:bCs/>
          <w:color w:val="000000"/>
          <w:sz w:val="32"/>
          <w:szCs w:val="32"/>
        </w:rPr>
        <w:t>年</w:t>
      </w:r>
      <w:r>
        <w:rPr>
          <w:rFonts w:hint="eastAsia" w:ascii="Times New Roman" w:hAnsi="Times New Roman" w:eastAsia="楷体_GB2312" w:cs="Times New Roman"/>
          <w:b/>
          <w:bCs/>
          <w:color w:val="000000"/>
          <w:sz w:val="32"/>
          <w:szCs w:val="32"/>
          <w:lang w:val="en-US" w:eastAsia="zh-CN"/>
        </w:rPr>
        <w:t>1</w:t>
      </w:r>
      <w:r>
        <w:rPr>
          <w:rFonts w:hint="default" w:ascii="Times New Roman" w:hAnsi="Times New Roman" w:eastAsia="楷体_GB2312" w:cs="Times New Roman"/>
          <w:b/>
          <w:bCs/>
          <w:color w:val="000000"/>
          <w:sz w:val="32"/>
          <w:szCs w:val="32"/>
        </w:rPr>
        <w:t>月－202</w:t>
      </w:r>
      <w:r>
        <w:rPr>
          <w:rFonts w:hint="eastAsia" w:ascii="Times New Roman" w:hAnsi="Times New Roman" w:eastAsia="楷体_GB2312" w:cs="Times New Roman"/>
          <w:b/>
          <w:bCs/>
          <w:color w:val="000000"/>
          <w:sz w:val="32"/>
          <w:szCs w:val="32"/>
          <w:lang w:val="en-US" w:eastAsia="zh-CN"/>
        </w:rPr>
        <w:t>4</w:t>
      </w:r>
      <w:r>
        <w:rPr>
          <w:rFonts w:hint="default" w:ascii="Times New Roman" w:hAnsi="Times New Roman" w:eastAsia="楷体_GB2312" w:cs="Times New Roman"/>
          <w:b/>
          <w:bCs/>
          <w:color w:val="000000"/>
          <w:sz w:val="32"/>
          <w:szCs w:val="32"/>
        </w:rPr>
        <w:t>年</w:t>
      </w:r>
      <w:r>
        <w:rPr>
          <w:rFonts w:hint="eastAsia" w:ascii="Times New Roman" w:hAnsi="Times New Roman" w:eastAsia="楷体_GB2312" w:cs="Times New Roman"/>
          <w:b/>
          <w:bCs/>
          <w:color w:val="000000"/>
          <w:sz w:val="32"/>
          <w:szCs w:val="32"/>
          <w:lang w:val="en-US" w:eastAsia="zh-CN"/>
        </w:rPr>
        <w:t>6</w:t>
      </w:r>
      <w:r>
        <w:rPr>
          <w:rFonts w:hint="default" w:ascii="Times New Roman" w:hAnsi="Times New Roman" w:eastAsia="楷体_GB2312" w:cs="Times New Roman"/>
          <w:b/>
          <w:bCs/>
          <w:color w:val="000000"/>
          <w:sz w:val="32"/>
          <w:szCs w:val="32"/>
        </w:rPr>
        <w:t>月）</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组织各相关单位召开标准研讨会，进一步巩固既有成果和验证标准的可行性，完善标准初稿，形成征求意见稿；</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组织相关部门召开专家评估。同时将标准征求意见稿发到各有关单位，进行征求意见、完成修稿形成送审稿，达成一致后送</w:t>
      </w:r>
      <w:r>
        <w:rPr>
          <w:rFonts w:hint="eastAsia" w:ascii="Times New Roman" w:hAnsi="Times New Roman" w:eastAsia="仿宋_GB2312" w:cs="Times New Roman"/>
          <w:color w:val="000000"/>
          <w:sz w:val="32"/>
          <w:szCs w:val="32"/>
          <w:lang w:val="en-US" w:eastAsia="zh-CN"/>
        </w:rPr>
        <w:t>江苏省</w:t>
      </w:r>
      <w:r>
        <w:rPr>
          <w:rFonts w:hint="default" w:ascii="Times New Roman" w:hAnsi="Times New Roman" w:eastAsia="仿宋_GB2312" w:cs="Times New Roman"/>
          <w:color w:val="000000"/>
          <w:sz w:val="32"/>
          <w:szCs w:val="32"/>
          <w:lang w:eastAsia="zh-CN"/>
        </w:rPr>
        <w:t>市场监督管理局</w:t>
      </w:r>
      <w:r>
        <w:rPr>
          <w:rFonts w:hint="default" w:ascii="Times New Roman" w:hAnsi="Times New Roman" w:eastAsia="仿宋_GB2312" w:cs="Times New Roman"/>
          <w:color w:val="000000"/>
          <w:sz w:val="32"/>
          <w:szCs w:val="32"/>
        </w:rPr>
        <w:t>。</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3" w:firstLineChars="200"/>
        <w:textAlignment w:val="auto"/>
        <w:rPr>
          <w:rFonts w:ascii="Times New Roman" w:hAnsi="Times New Roman" w:eastAsia="楷体_GB2312" w:cs="Times New Roman"/>
          <w:b/>
          <w:bCs/>
          <w:color w:val="000000"/>
          <w:sz w:val="32"/>
          <w:szCs w:val="32"/>
        </w:rPr>
      </w:pPr>
      <w:r>
        <w:rPr>
          <w:rFonts w:hint="eastAsia" w:ascii="Times New Roman" w:hAnsi="Times New Roman" w:eastAsia="楷体_GB2312" w:cs="Times New Roman"/>
          <w:b/>
          <w:bCs/>
          <w:color w:val="000000"/>
          <w:sz w:val="32"/>
          <w:szCs w:val="32"/>
          <w:lang w:val="en-US" w:eastAsia="zh-CN"/>
        </w:rPr>
        <w:t>4、</w:t>
      </w:r>
      <w:r>
        <w:rPr>
          <w:rFonts w:ascii="Times New Roman" w:hAnsi="Times New Roman" w:eastAsia="楷体_GB2312" w:cs="Times New Roman"/>
          <w:b/>
          <w:bCs/>
          <w:color w:val="000000"/>
          <w:sz w:val="32"/>
          <w:szCs w:val="32"/>
        </w:rPr>
        <w:t>召开专家评审会，通过评审。（202</w:t>
      </w:r>
      <w:r>
        <w:rPr>
          <w:rFonts w:hint="eastAsia" w:ascii="Times New Roman" w:hAnsi="Times New Roman" w:eastAsia="楷体_GB2312" w:cs="Times New Roman"/>
          <w:b/>
          <w:bCs/>
          <w:color w:val="000000"/>
          <w:sz w:val="32"/>
          <w:szCs w:val="32"/>
          <w:lang w:val="en-US" w:eastAsia="zh-CN"/>
        </w:rPr>
        <w:t>4</w:t>
      </w:r>
      <w:r>
        <w:rPr>
          <w:rFonts w:ascii="Times New Roman" w:hAnsi="Times New Roman" w:eastAsia="楷体_GB2312" w:cs="Times New Roman"/>
          <w:b/>
          <w:bCs/>
          <w:color w:val="000000"/>
          <w:sz w:val="32"/>
          <w:szCs w:val="32"/>
        </w:rPr>
        <w:t>年</w:t>
      </w:r>
      <w:r>
        <w:rPr>
          <w:rFonts w:hint="eastAsia" w:ascii="Times New Roman" w:hAnsi="Times New Roman" w:eastAsia="楷体_GB2312" w:cs="Times New Roman"/>
          <w:b/>
          <w:bCs/>
          <w:color w:val="000000"/>
          <w:sz w:val="32"/>
          <w:szCs w:val="32"/>
          <w:lang w:val="en-US" w:eastAsia="zh-CN"/>
        </w:rPr>
        <w:t>10月</w:t>
      </w:r>
      <w:r>
        <w:rPr>
          <w:rFonts w:ascii="Times New Roman" w:hAnsi="Times New Roman" w:eastAsia="楷体_GB2312" w:cs="Times New Roman"/>
          <w:b/>
          <w:bCs/>
          <w:color w:val="000000"/>
          <w:sz w:val="32"/>
          <w:szCs w:val="32"/>
        </w:rPr>
        <w:t>）</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提交标准送审稿，</w:t>
      </w:r>
      <w:r>
        <w:rPr>
          <w:rFonts w:hint="eastAsia" w:ascii="Times New Roman" w:hAnsi="Times New Roman" w:eastAsia="仿宋_GB2312" w:cs="Times New Roman"/>
          <w:color w:val="000000"/>
          <w:sz w:val="32"/>
          <w:szCs w:val="32"/>
          <w:lang w:eastAsia="zh-CN"/>
        </w:rPr>
        <w:t>由省市监局</w:t>
      </w:r>
      <w:r>
        <w:rPr>
          <w:rFonts w:ascii="Times New Roman" w:hAnsi="Times New Roman" w:eastAsia="仿宋_GB2312" w:cs="Times New Roman"/>
          <w:color w:val="000000"/>
          <w:sz w:val="32"/>
          <w:szCs w:val="32"/>
        </w:rPr>
        <w:t>召开专家评审会，对收到意见完成是否采纳及修改工作，审核批准，通过发布。</w:t>
      </w:r>
      <w:bookmarkStart w:id="0" w:name="_GoBack"/>
      <w:bookmarkEnd w:id="0"/>
    </w:p>
    <w:p>
      <w:pPr>
        <w:keepNext w:val="0"/>
        <w:keepLines w:val="0"/>
        <w:pageBreakBefore w:val="0"/>
        <w:widowControl w:val="0"/>
        <w:shd w:val="clear"/>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黑体" w:cs="Times New Roman"/>
          <w:color w:val="000000"/>
          <w:sz w:val="32"/>
          <w:szCs w:val="32"/>
          <w:highlight w:val="none"/>
          <w:lang w:val="en-US" w:eastAsia="zh-CN"/>
        </w:rPr>
      </w:pPr>
      <w:r>
        <w:rPr>
          <w:rFonts w:hint="eastAsia" w:ascii="Times New Roman" w:hAnsi="Times New Roman" w:eastAsia="黑体" w:cs="Times New Roman"/>
          <w:color w:val="000000"/>
          <w:sz w:val="32"/>
          <w:szCs w:val="32"/>
          <w:highlight w:val="none"/>
          <w:lang w:val="en-US" w:eastAsia="zh-CN"/>
        </w:rPr>
        <w:t>二</w:t>
      </w:r>
      <w:r>
        <w:rPr>
          <w:rFonts w:hint="default" w:ascii="Times New Roman" w:hAnsi="Times New Roman" w:eastAsia="黑体" w:cs="Times New Roman"/>
          <w:color w:val="000000"/>
          <w:sz w:val="32"/>
          <w:szCs w:val="32"/>
          <w:highlight w:val="none"/>
        </w:rPr>
        <w:t>、</w:t>
      </w:r>
      <w:r>
        <w:rPr>
          <w:rFonts w:hint="eastAsia" w:ascii="Times New Roman" w:hAnsi="Times New Roman" w:eastAsia="黑体" w:cs="Times New Roman"/>
          <w:color w:val="000000"/>
          <w:sz w:val="32"/>
          <w:szCs w:val="32"/>
          <w:highlight w:val="none"/>
          <w:lang w:val="en-US" w:eastAsia="zh-CN"/>
        </w:rPr>
        <w:t>标准制定的目的和意义</w:t>
      </w:r>
    </w:p>
    <w:p>
      <w:pPr>
        <w:keepNext w:val="0"/>
        <w:keepLines w:val="0"/>
        <w:pageBreakBefore w:val="0"/>
        <w:shd w:val="clear"/>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highlight w:val="none"/>
          <w:lang w:eastAsia="zh-CN"/>
        </w:rPr>
      </w:pPr>
      <w:r>
        <w:rPr>
          <w:rFonts w:hint="default" w:ascii="Times New Roman" w:hAnsi="Times New Roman" w:eastAsia="仿宋_GB2312" w:cs="Times New Roman"/>
          <w:color w:val="000000"/>
          <w:sz w:val="32"/>
          <w:szCs w:val="32"/>
          <w:highlight w:val="none"/>
          <w:lang w:eastAsia="zh-CN"/>
        </w:rPr>
        <w:t>近年来，国家机关事务管理局站在推进中国式现代化建设的高度，不断深化机关事务管理标准化建设，围绕深入贯彻习近平生态文明思想和关于碳达峰、碳中和工作的重要指示精神，各级公共机构</w:t>
      </w:r>
      <w:r>
        <w:rPr>
          <w:rFonts w:hint="eastAsia" w:ascii="Times New Roman" w:hAnsi="Times New Roman" w:eastAsia="仿宋_GB2312" w:cs="Times New Roman"/>
          <w:color w:val="000000"/>
          <w:sz w:val="32"/>
          <w:szCs w:val="32"/>
          <w:highlight w:val="none"/>
          <w:lang w:val="en-US" w:eastAsia="zh-CN"/>
        </w:rPr>
        <w:t>先后</w:t>
      </w:r>
      <w:r>
        <w:rPr>
          <w:rFonts w:hint="default" w:ascii="Times New Roman" w:hAnsi="Times New Roman" w:eastAsia="仿宋_GB2312" w:cs="Times New Roman"/>
          <w:color w:val="000000"/>
          <w:sz w:val="32"/>
          <w:szCs w:val="32"/>
          <w:highlight w:val="none"/>
          <w:lang w:eastAsia="zh-CN"/>
        </w:rPr>
        <w:t>加强资源节约集约循环高效利用，坚决落实能耗“双控”目标要求，扎实推动公共机构大力践行绿色低碳转型，更好发挥示范引领作用，助力全面推进美丽中国建设。在推进</w:t>
      </w:r>
      <w:r>
        <w:rPr>
          <w:rFonts w:hint="eastAsia" w:ascii="Times New Roman" w:hAnsi="Times New Roman" w:eastAsia="仿宋_GB2312" w:cs="Times New Roman"/>
          <w:color w:val="000000"/>
          <w:sz w:val="32"/>
          <w:szCs w:val="32"/>
          <w:highlight w:val="none"/>
          <w:lang w:val="en-US" w:eastAsia="zh-CN"/>
        </w:rPr>
        <w:t>公共机构能源资源节约</w:t>
      </w:r>
      <w:r>
        <w:rPr>
          <w:rFonts w:hint="default" w:ascii="Times New Roman" w:hAnsi="Times New Roman" w:eastAsia="仿宋_GB2312" w:cs="Times New Roman"/>
          <w:color w:val="000000"/>
          <w:sz w:val="32"/>
          <w:szCs w:val="32"/>
          <w:highlight w:val="none"/>
          <w:lang w:eastAsia="zh-CN"/>
        </w:rPr>
        <w:t>过程中，</w:t>
      </w:r>
      <w:r>
        <w:rPr>
          <w:rFonts w:hint="eastAsia" w:ascii="Times New Roman" w:hAnsi="Times New Roman" w:eastAsia="仿宋_GB2312" w:cs="Times New Roman"/>
          <w:color w:val="000000"/>
          <w:sz w:val="32"/>
          <w:szCs w:val="32"/>
          <w:highlight w:val="none"/>
          <w:lang w:val="en-US" w:eastAsia="zh-CN"/>
        </w:rPr>
        <w:t>存在</w:t>
      </w:r>
      <w:r>
        <w:rPr>
          <w:rFonts w:hint="default" w:ascii="Times New Roman" w:hAnsi="Times New Roman" w:eastAsia="仿宋_GB2312" w:cs="Times New Roman"/>
          <w:color w:val="000000"/>
          <w:sz w:val="32"/>
          <w:szCs w:val="32"/>
          <w:highlight w:val="none"/>
          <w:lang w:eastAsia="zh-CN"/>
        </w:rPr>
        <w:t>各类公共机构节能标准对于</w:t>
      </w:r>
      <w:r>
        <w:rPr>
          <w:rFonts w:hint="eastAsia" w:ascii="Times New Roman" w:hAnsi="Times New Roman" w:eastAsia="仿宋_GB2312" w:cs="Times New Roman"/>
          <w:color w:val="000000"/>
          <w:sz w:val="32"/>
          <w:szCs w:val="32"/>
          <w:highlight w:val="none"/>
          <w:lang w:val="en-US" w:eastAsia="zh-CN"/>
        </w:rPr>
        <w:t>公共机构</w:t>
      </w:r>
      <w:r>
        <w:rPr>
          <w:rFonts w:hint="default" w:ascii="Times New Roman" w:hAnsi="Times New Roman" w:eastAsia="仿宋_GB2312" w:cs="Times New Roman"/>
          <w:color w:val="000000"/>
          <w:sz w:val="32"/>
          <w:szCs w:val="32"/>
          <w:highlight w:val="none"/>
          <w:lang w:eastAsia="zh-CN"/>
        </w:rPr>
        <w:t>办公</w:t>
      </w:r>
      <w:r>
        <w:rPr>
          <w:rFonts w:hint="eastAsia" w:ascii="Times New Roman" w:hAnsi="Times New Roman" w:eastAsia="仿宋_GB2312" w:cs="Times New Roman"/>
          <w:color w:val="000000"/>
          <w:sz w:val="32"/>
          <w:szCs w:val="32"/>
          <w:highlight w:val="none"/>
          <w:lang w:val="en-US" w:eastAsia="zh-CN"/>
        </w:rPr>
        <w:t>区的</w:t>
      </w:r>
      <w:r>
        <w:rPr>
          <w:rFonts w:hint="default" w:ascii="Times New Roman" w:hAnsi="Times New Roman" w:eastAsia="仿宋_GB2312" w:cs="Times New Roman"/>
          <w:color w:val="000000"/>
          <w:sz w:val="32"/>
          <w:szCs w:val="32"/>
          <w:highlight w:val="none"/>
          <w:lang w:eastAsia="zh-CN"/>
        </w:rPr>
        <w:t>要求相对简单</w:t>
      </w:r>
      <w:r>
        <w:rPr>
          <w:rFonts w:hint="eastAsia" w:ascii="Times New Roman" w:hAnsi="Times New Roman" w:eastAsia="仿宋_GB2312" w:cs="Times New Roman"/>
          <w:color w:val="000000"/>
          <w:sz w:val="32"/>
          <w:szCs w:val="32"/>
          <w:highlight w:val="none"/>
          <w:lang w:eastAsia="zh-CN"/>
        </w:rPr>
        <w:t>的</w:t>
      </w:r>
      <w:r>
        <w:rPr>
          <w:rFonts w:hint="eastAsia" w:ascii="Times New Roman" w:hAnsi="Times New Roman" w:eastAsia="仿宋_GB2312" w:cs="Times New Roman"/>
          <w:color w:val="000000"/>
          <w:sz w:val="32"/>
          <w:szCs w:val="32"/>
          <w:highlight w:val="none"/>
          <w:lang w:val="en-US" w:eastAsia="zh-CN"/>
        </w:rPr>
        <w:t>问题</w:t>
      </w:r>
      <w:r>
        <w:rPr>
          <w:rFonts w:hint="default" w:ascii="Times New Roman" w:hAnsi="Times New Roman" w:eastAsia="仿宋_GB2312" w:cs="Times New Roman"/>
          <w:color w:val="000000"/>
          <w:sz w:val="32"/>
          <w:szCs w:val="32"/>
          <w:highlight w:val="none"/>
          <w:lang w:eastAsia="zh-CN"/>
        </w:rPr>
        <w:t>，需要出台公共机构绿色办公区</w:t>
      </w:r>
      <w:r>
        <w:rPr>
          <w:rFonts w:hint="eastAsia" w:ascii="Times New Roman" w:hAnsi="Times New Roman" w:eastAsia="仿宋_GB2312" w:cs="Times New Roman"/>
          <w:color w:val="000000"/>
          <w:sz w:val="32"/>
          <w:szCs w:val="32"/>
          <w:highlight w:val="none"/>
          <w:lang w:val="en-US" w:eastAsia="zh-CN"/>
        </w:rPr>
        <w:t>相关</w:t>
      </w:r>
      <w:r>
        <w:rPr>
          <w:rFonts w:hint="default" w:ascii="Times New Roman" w:hAnsi="Times New Roman" w:eastAsia="仿宋_GB2312" w:cs="Times New Roman"/>
          <w:color w:val="000000"/>
          <w:sz w:val="32"/>
          <w:szCs w:val="32"/>
          <w:highlight w:val="none"/>
          <w:lang w:eastAsia="zh-CN"/>
        </w:rPr>
        <w:t>标准予以规范。</w:t>
      </w:r>
    </w:p>
    <w:p>
      <w:pPr>
        <w:keepNext w:val="0"/>
        <w:keepLines w:val="0"/>
        <w:pageBreakBefore w:val="0"/>
        <w:numPr>
          <w:ilvl w:val="0"/>
          <w:numId w:val="0"/>
        </w:numPr>
        <w:kinsoku/>
        <w:wordWrap/>
        <w:overflowPunct w:val="0"/>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推进公共机构绿色办公区</w:t>
      </w:r>
      <w:r>
        <w:rPr>
          <w:rFonts w:hint="eastAsia" w:ascii="Times New Roman" w:hAnsi="Times New Roman" w:eastAsia="仿宋_GB2312" w:cs="Times New Roman"/>
          <w:color w:val="000000"/>
          <w:sz w:val="32"/>
          <w:szCs w:val="32"/>
          <w:highlight w:val="none"/>
          <w:lang w:val="en-US" w:eastAsia="zh-CN"/>
        </w:rPr>
        <w:t>管理规范的建立</w:t>
      </w:r>
      <w:r>
        <w:rPr>
          <w:rFonts w:hint="eastAsia" w:ascii="Times New Roman" w:hAnsi="Times New Roman" w:eastAsia="仿宋_GB2312" w:cs="Times New Roman"/>
          <w:color w:val="000000"/>
          <w:sz w:val="32"/>
          <w:szCs w:val="32"/>
          <w:highlight w:val="none"/>
          <w:lang w:eastAsia="zh-CN"/>
        </w:rPr>
        <w:t>是</w:t>
      </w:r>
      <w:r>
        <w:rPr>
          <w:rFonts w:hint="default" w:ascii="Times New Roman" w:hAnsi="Times New Roman" w:eastAsia="仿宋_GB2312" w:cs="Times New Roman"/>
          <w:color w:val="000000"/>
          <w:sz w:val="32"/>
          <w:szCs w:val="32"/>
          <w:highlight w:val="none"/>
          <w:lang w:eastAsia="zh-CN"/>
        </w:rPr>
        <w:t>提升</w:t>
      </w:r>
      <w:r>
        <w:rPr>
          <w:rFonts w:hint="eastAsia" w:ascii="Times New Roman" w:hAnsi="Times New Roman" w:eastAsia="仿宋_GB2312" w:cs="Times New Roman"/>
          <w:color w:val="000000"/>
          <w:sz w:val="32"/>
          <w:szCs w:val="32"/>
          <w:highlight w:val="none"/>
          <w:lang w:val="en-US" w:eastAsia="zh-CN"/>
        </w:rPr>
        <w:t>公共机构节能管理</w:t>
      </w:r>
      <w:r>
        <w:rPr>
          <w:rFonts w:hint="default" w:ascii="Times New Roman" w:hAnsi="Times New Roman" w:eastAsia="仿宋_GB2312" w:cs="Times New Roman"/>
          <w:color w:val="000000"/>
          <w:sz w:val="32"/>
          <w:szCs w:val="32"/>
          <w:highlight w:val="none"/>
        </w:rPr>
        <w:t>的重要抓手</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更是</w:t>
      </w:r>
      <w:r>
        <w:rPr>
          <w:rFonts w:hint="default" w:ascii="Times New Roman" w:hAnsi="Times New Roman" w:eastAsia="仿宋_GB2312" w:cs="Times New Roman"/>
          <w:color w:val="000000"/>
          <w:sz w:val="32"/>
          <w:szCs w:val="32"/>
          <w:highlight w:val="none"/>
          <w:lang w:eastAsia="zh-CN"/>
        </w:rPr>
        <w:t>推进机关事务“</w:t>
      </w:r>
      <w:r>
        <w:rPr>
          <w:rFonts w:hint="eastAsia" w:ascii="Times New Roman" w:hAnsi="Times New Roman" w:eastAsia="仿宋_GB2312" w:cs="Times New Roman"/>
          <w:color w:val="000000"/>
          <w:sz w:val="32"/>
          <w:szCs w:val="32"/>
          <w:highlight w:val="none"/>
          <w:lang w:val="en-US" w:eastAsia="zh-CN"/>
        </w:rPr>
        <w:t>法治化</w:t>
      </w:r>
      <w:r>
        <w:rPr>
          <w:rFonts w:hint="default" w:ascii="Times New Roman" w:hAnsi="Times New Roman" w:eastAsia="仿宋_GB2312" w:cs="Times New Roman"/>
          <w:color w:val="000000"/>
          <w:sz w:val="32"/>
          <w:szCs w:val="32"/>
          <w:highlight w:val="none"/>
          <w:lang w:eastAsia="zh-CN"/>
        </w:rPr>
        <w:t>、标准化、信息化”建设现实需要</w:t>
      </w:r>
      <w:r>
        <w:rPr>
          <w:rFonts w:hint="eastAsia" w:ascii="Times New Roman" w:hAnsi="Times New Roman" w:eastAsia="仿宋_GB2312" w:cs="Times New Roman"/>
          <w:color w:val="000000"/>
          <w:sz w:val="32"/>
          <w:szCs w:val="32"/>
          <w:highlight w:val="none"/>
          <w:lang w:eastAsia="zh-CN"/>
        </w:rPr>
        <w:t>。</w:t>
      </w:r>
    </w:p>
    <w:p>
      <w:pPr>
        <w:keepNext w:val="0"/>
        <w:keepLines w:val="0"/>
        <w:pageBreakBefore w:val="0"/>
        <w:numPr>
          <w:ilvl w:val="0"/>
          <w:numId w:val="0"/>
        </w:numPr>
        <w:kinsoku/>
        <w:wordWrap/>
        <w:overflowPunct w:val="0"/>
        <w:topLinePunct w:val="0"/>
        <w:autoSpaceDE w:val="0"/>
        <w:autoSpaceDN w:val="0"/>
        <w:bidi w:val="0"/>
        <w:adjustRightInd w:val="0"/>
        <w:snapToGrid w:val="0"/>
        <w:spacing w:line="560" w:lineRule="exact"/>
        <w:ind w:firstLine="643" w:firstLineChars="200"/>
        <w:textAlignment w:val="auto"/>
        <w:rPr>
          <w:rFonts w:hint="eastAsia" w:ascii="Times New Roman" w:hAnsi="Times New Roman" w:eastAsia="仿宋_GB2312" w:cs="Times New Roman"/>
          <w:color w:val="000000"/>
          <w:sz w:val="32"/>
          <w:szCs w:val="32"/>
          <w:lang w:eastAsia="zh-CN"/>
        </w:rPr>
      </w:pPr>
      <w:r>
        <w:rPr>
          <w:rFonts w:hint="default" w:ascii="Times New Roman" w:hAnsi="Times New Roman" w:eastAsia="楷体_GB2312" w:cs="Times New Roman"/>
          <w:b/>
          <w:bCs/>
          <w:color w:val="000000"/>
          <w:sz w:val="32"/>
          <w:szCs w:val="32"/>
        </w:rPr>
        <w:t>（一）</w:t>
      </w:r>
      <w:r>
        <w:rPr>
          <w:rFonts w:hint="eastAsia" w:ascii="Times New Roman" w:hAnsi="Times New Roman" w:eastAsia="仿宋_GB2312" w:cs="Times New Roman"/>
          <w:b/>
          <w:bCs/>
          <w:color w:val="000000"/>
          <w:sz w:val="32"/>
          <w:szCs w:val="32"/>
          <w:highlight w:val="none"/>
        </w:rPr>
        <w:t>本标准的制定实施，是</w:t>
      </w:r>
      <w:r>
        <w:rPr>
          <w:rFonts w:hint="eastAsia" w:ascii="Times New Roman" w:hAnsi="Times New Roman" w:eastAsia="仿宋_GB2312" w:cs="Times New Roman"/>
          <w:b/>
          <w:bCs/>
          <w:color w:val="000000"/>
          <w:sz w:val="32"/>
          <w:szCs w:val="32"/>
          <w:highlight w:val="none"/>
          <w:lang w:eastAsia="zh-CN"/>
        </w:rPr>
        <w:t>推进“双碳”节能目标实现的具体举措。</w:t>
      </w:r>
      <w:r>
        <w:rPr>
          <w:rFonts w:hint="default" w:ascii="Times New Roman" w:hAnsi="Times New Roman" w:eastAsia="仿宋_GB2312" w:cs="Times New Roman"/>
          <w:color w:val="000000"/>
          <w:sz w:val="32"/>
          <w:szCs w:val="32"/>
          <w:highlight w:val="none"/>
        </w:rPr>
        <w:t>通过研制《</w:t>
      </w:r>
      <w:r>
        <w:rPr>
          <w:rFonts w:hint="eastAsia" w:ascii="Times New Roman" w:hAnsi="Times New Roman" w:eastAsia="仿宋_GB2312" w:cs="Times New Roman"/>
          <w:color w:val="000000"/>
          <w:sz w:val="32"/>
          <w:szCs w:val="32"/>
          <w:highlight w:val="none"/>
          <w:lang w:eastAsia="zh-CN"/>
        </w:rPr>
        <w:t>公共机构绿色办公区</w:t>
      </w:r>
      <w:r>
        <w:rPr>
          <w:rFonts w:hint="eastAsia" w:ascii="Times New Roman" w:hAnsi="Times New Roman" w:eastAsia="仿宋_GB2312" w:cs="Times New Roman"/>
          <w:color w:val="000000"/>
          <w:sz w:val="32"/>
          <w:szCs w:val="32"/>
          <w:highlight w:val="none"/>
          <w:lang w:val="en-US" w:eastAsia="zh-CN"/>
        </w:rPr>
        <w:t>管理规范</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highlight w:val="none"/>
          <w:lang w:eastAsia="zh-CN"/>
        </w:rPr>
        <w:t>可以</w:t>
      </w:r>
      <w:r>
        <w:rPr>
          <w:rFonts w:hint="default" w:ascii="Times New Roman" w:hAnsi="Times New Roman" w:eastAsia="仿宋_GB2312" w:cs="Times New Roman"/>
          <w:color w:val="000000"/>
          <w:sz w:val="32"/>
          <w:szCs w:val="32"/>
          <w:highlight w:val="none"/>
        </w:rPr>
        <w:t>规范</w:t>
      </w:r>
      <w:r>
        <w:rPr>
          <w:rFonts w:hint="eastAsia" w:ascii="Times New Roman" w:hAnsi="Times New Roman" w:eastAsia="仿宋_GB2312" w:cs="Times New Roman"/>
          <w:color w:val="000000"/>
          <w:sz w:val="32"/>
          <w:szCs w:val="32"/>
          <w:highlight w:val="none"/>
          <w:lang w:eastAsia="zh-CN"/>
        </w:rPr>
        <w:t>公共机构</w:t>
      </w:r>
      <w:r>
        <w:rPr>
          <w:rFonts w:hint="eastAsia" w:ascii="Times New Roman" w:hAnsi="Times New Roman" w:eastAsia="仿宋_GB2312" w:cs="Times New Roman"/>
          <w:color w:val="000000"/>
          <w:sz w:val="32"/>
          <w:szCs w:val="32"/>
          <w:highlight w:val="none"/>
          <w:lang w:val="en-US" w:eastAsia="zh-CN"/>
        </w:rPr>
        <w:t>绿色办公区的管理</w:t>
      </w:r>
      <w:r>
        <w:rPr>
          <w:rFonts w:hint="default" w:ascii="Times New Roman" w:hAnsi="Times New Roman" w:eastAsia="仿宋_GB2312" w:cs="Times New Roman"/>
          <w:color w:val="000000"/>
          <w:sz w:val="32"/>
          <w:szCs w:val="32"/>
          <w:highlight w:val="none"/>
        </w:rPr>
        <w:t>工作，</w:t>
      </w:r>
      <w:r>
        <w:rPr>
          <w:rFonts w:hint="default" w:ascii="Times New Roman" w:hAnsi="Times New Roman" w:eastAsia="仿宋_GB2312" w:cs="Times New Roman"/>
          <w:color w:val="000000"/>
          <w:sz w:val="32"/>
          <w:szCs w:val="32"/>
          <w:highlight w:val="none"/>
          <w:lang w:eastAsia="zh-CN"/>
        </w:rPr>
        <w:t>节约集约循环高效利用</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lang w:eastAsia="zh-CN"/>
        </w:rPr>
        <w:t>为</w:t>
      </w:r>
      <w:r>
        <w:rPr>
          <w:rFonts w:hint="eastAsia" w:ascii="Times New Roman" w:hAnsi="Times New Roman" w:eastAsia="仿宋_GB2312" w:cs="Times New Roman"/>
          <w:color w:val="000000"/>
          <w:sz w:val="32"/>
          <w:szCs w:val="32"/>
          <w:lang w:val="en-US" w:eastAsia="zh-CN"/>
        </w:rPr>
        <w:t>全省</w:t>
      </w:r>
      <w:r>
        <w:rPr>
          <w:rFonts w:hint="eastAsia" w:ascii="Times New Roman" w:hAnsi="Times New Roman" w:eastAsia="仿宋_GB2312" w:cs="Times New Roman"/>
          <w:color w:val="000000"/>
          <w:sz w:val="32"/>
          <w:szCs w:val="32"/>
          <w:lang w:eastAsia="zh-CN"/>
        </w:rPr>
        <w:t>各级公共机构率先碳达峰提供有力支撑。</w:t>
      </w:r>
    </w:p>
    <w:p>
      <w:pPr>
        <w:keepNext w:val="0"/>
        <w:keepLines w:val="0"/>
        <w:pageBreakBefore w:val="0"/>
        <w:numPr>
          <w:ilvl w:val="0"/>
          <w:numId w:val="0"/>
        </w:numPr>
        <w:kinsoku/>
        <w:wordWrap/>
        <w:overflowPunct w:val="0"/>
        <w:topLinePunct w:val="0"/>
        <w:autoSpaceDE w:val="0"/>
        <w:autoSpaceDN w:val="0"/>
        <w:bidi w:val="0"/>
        <w:adjustRightInd w:val="0"/>
        <w:snapToGrid w:val="0"/>
        <w:spacing w:line="560" w:lineRule="exact"/>
        <w:ind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楷体_GB2312" w:cs="Times New Roman"/>
          <w:b/>
          <w:bCs/>
          <w:color w:val="000000"/>
          <w:sz w:val="32"/>
          <w:szCs w:val="32"/>
        </w:rPr>
        <w:t>（</w:t>
      </w:r>
      <w:r>
        <w:rPr>
          <w:rFonts w:hint="eastAsia" w:ascii="Times New Roman" w:hAnsi="Times New Roman" w:eastAsia="楷体_GB2312" w:cs="Times New Roman"/>
          <w:b/>
          <w:bCs/>
          <w:color w:val="000000"/>
          <w:sz w:val="32"/>
          <w:szCs w:val="32"/>
          <w:lang w:val="en-US" w:eastAsia="zh-CN"/>
        </w:rPr>
        <w:t>二</w:t>
      </w:r>
      <w:r>
        <w:rPr>
          <w:rFonts w:hint="default" w:ascii="Times New Roman" w:hAnsi="Times New Roman" w:eastAsia="楷体_GB2312" w:cs="Times New Roman"/>
          <w:b/>
          <w:bCs/>
          <w:color w:val="000000"/>
          <w:sz w:val="32"/>
          <w:szCs w:val="32"/>
        </w:rPr>
        <w:t>）</w:t>
      </w:r>
      <w:r>
        <w:rPr>
          <w:rFonts w:hint="eastAsia" w:ascii="Times New Roman" w:hAnsi="Times New Roman" w:eastAsia="仿宋_GB2312" w:cs="Times New Roman"/>
          <w:b/>
          <w:bCs/>
          <w:color w:val="000000"/>
          <w:sz w:val="32"/>
          <w:szCs w:val="32"/>
          <w:highlight w:val="none"/>
        </w:rPr>
        <w:t>本标准的制定实施，是推进机关事务标准化工作的重要体现</w:t>
      </w:r>
      <w:r>
        <w:rPr>
          <w:rFonts w:hint="eastAsia" w:ascii="Times New Roman" w:hAnsi="Times New Roman" w:eastAsia="仿宋_GB2312" w:cs="Times New Roman"/>
          <w:b/>
          <w:bCs/>
          <w:color w:val="000000"/>
          <w:sz w:val="32"/>
          <w:szCs w:val="32"/>
          <w:highlight w:val="none"/>
          <w:lang w:eastAsia="zh-CN"/>
        </w:rPr>
        <w:t>。</w:t>
      </w:r>
      <w:r>
        <w:rPr>
          <w:rFonts w:hint="eastAsia" w:ascii="Times New Roman" w:hAnsi="Times New Roman" w:eastAsia="仿宋_GB2312" w:cs="Times New Roman"/>
          <w:color w:val="000000"/>
          <w:sz w:val="32"/>
          <w:szCs w:val="32"/>
          <w:lang w:val="en-US" w:eastAsia="zh-CN"/>
        </w:rPr>
        <w:t>通过出台</w:t>
      </w:r>
      <w:r>
        <w:rPr>
          <w:rFonts w:hint="default" w:ascii="Times New Roman" w:hAnsi="Times New Roman" w:eastAsia="仿宋_GB2312" w:cs="Times New Roman"/>
          <w:color w:val="000000"/>
          <w:sz w:val="32"/>
          <w:szCs w:val="32"/>
          <w:lang w:eastAsia="zh-CN"/>
        </w:rPr>
        <w:t>公共机构</w:t>
      </w:r>
      <w:r>
        <w:rPr>
          <w:rFonts w:hint="eastAsia" w:ascii="Times New Roman" w:hAnsi="Times New Roman" w:eastAsia="仿宋_GB2312" w:cs="Times New Roman"/>
          <w:color w:val="000000"/>
          <w:sz w:val="32"/>
          <w:szCs w:val="32"/>
          <w:lang w:val="en-US" w:eastAsia="zh-CN"/>
        </w:rPr>
        <w:t>绿色</w:t>
      </w:r>
      <w:r>
        <w:rPr>
          <w:rFonts w:hint="default" w:ascii="Times New Roman" w:hAnsi="Times New Roman" w:eastAsia="仿宋_GB2312" w:cs="Times New Roman"/>
          <w:color w:val="000000"/>
          <w:sz w:val="32"/>
          <w:szCs w:val="32"/>
          <w:lang w:eastAsia="zh-CN"/>
        </w:rPr>
        <w:t>办公区节能管理标准，</w:t>
      </w:r>
      <w:r>
        <w:rPr>
          <w:rFonts w:hint="eastAsia" w:ascii="Times New Roman" w:hAnsi="Times New Roman" w:eastAsia="仿宋_GB2312" w:cs="Times New Roman"/>
          <w:color w:val="000000"/>
          <w:sz w:val="32"/>
          <w:szCs w:val="32"/>
          <w:lang w:val="en-US" w:eastAsia="zh-CN"/>
        </w:rPr>
        <w:t>可以</w:t>
      </w:r>
      <w:r>
        <w:rPr>
          <w:rFonts w:hint="default" w:ascii="Times New Roman" w:hAnsi="Times New Roman" w:eastAsia="仿宋_GB2312" w:cs="Times New Roman"/>
          <w:color w:val="000000"/>
          <w:sz w:val="32"/>
          <w:szCs w:val="32"/>
          <w:lang w:eastAsia="zh-CN"/>
        </w:rPr>
        <w:t>为公共机构节能的标准化发展提供科学性、系统性、适用性的实用指导，凸显了规范化、精细化管理，</w:t>
      </w:r>
      <w:r>
        <w:rPr>
          <w:rFonts w:hint="default" w:ascii="Times New Roman" w:hAnsi="Times New Roman" w:eastAsia="仿宋_GB2312" w:cs="Times New Roman"/>
          <w:color w:val="000000"/>
          <w:sz w:val="32"/>
          <w:szCs w:val="32"/>
        </w:rPr>
        <w:t>成为该领域引领者和创新者，通过标准文本的建立为其他省市</w:t>
      </w:r>
      <w:r>
        <w:rPr>
          <w:rFonts w:hint="eastAsia" w:ascii="Times New Roman" w:hAnsi="Times New Roman" w:eastAsia="仿宋_GB2312" w:cs="Times New Roman"/>
          <w:color w:val="000000"/>
          <w:sz w:val="32"/>
          <w:szCs w:val="32"/>
          <w:lang w:eastAsia="zh-CN"/>
        </w:rPr>
        <w:t>公共机构办公区节能</w:t>
      </w:r>
      <w:r>
        <w:rPr>
          <w:rFonts w:hint="eastAsia" w:ascii="Times New Roman" w:hAnsi="Times New Roman" w:eastAsia="仿宋_GB2312" w:cs="Times New Roman"/>
          <w:color w:val="000000"/>
          <w:sz w:val="32"/>
          <w:szCs w:val="32"/>
          <w:lang w:val="en-US" w:eastAsia="zh-CN"/>
        </w:rPr>
        <w:t>管理</w:t>
      </w:r>
      <w:r>
        <w:rPr>
          <w:rFonts w:hint="default" w:ascii="Times New Roman" w:hAnsi="Times New Roman" w:eastAsia="仿宋_GB2312" w:cs="Times New Roman"/>
          <w:color w:val="000000"/>
          <w:sz w:val="32"/>
          <w:szCs w:val="32"/>
        </w:rPr>
        <w:t>提供实践经验，为后续国家标准、行业标准的制定提供依据与支持。</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rPr>
        <w:t>三、标准编制</w:t>
      </w:r>
      <w:r>
        <w:rPr>
          <w:rFonts w:hint="eastAsia" w:ascii="Times New Roman" w:hAnsi="Times New Roman" w:eastAsia="黑体" w:cs="Times New Roman"/>
          <w:color w:val="000000"/>
          <w:sz w:val="32"/>
          <w:szCs w:val="32"/>
          <w:lang w:val="en-US" w:eastAsia="zh-CN"/>
        </w:rPr>
        <w:t>原则、主要技术内容和依据</w:t>
      </w:r>
    </w:p>
    <w:p>
      <w:pPr>
        <w:keepNext w:val="0"/>
        <w:keepLines w:val="0"/>
        <w:pageBreakBefore w:val="0"/>
        <w:numPr>
          <w:ilvl w:val="0"/>
          <w:numId w:val="0"/>
        </w:numPr>
        <w:kinsoku/>
        <w:wordWrap/>
        <w:overflowPunct w:val="0"/>
        <w:topLinePunct w:val="0"/>
        <w:autoSpaceDE w:val="0"/>
        <w:autoSpaceDN w:val="0"/>
        <w:bidi w:val="0"/>
        <w:adjustRightInd w:val="0"/>
        <w:snapToGrid w:val="0"/>
        <w:spacing w:line="560" w:lineRule="exact"/>
        <w:ind w:firstLine="643" w:firstLineChars="200"/>
        <w:textAlignment w:val="auto"/>
        <w:rPr>
          <w:rFonts w:hint="eastAsia" w:ascii="楷体_GB2312" w:hAnsi="楷体_GB2312" w:eastAsia="楷体_GB2312" w:cs="楷体_GB2312"/>
          <w:b/>
          <w:bCs/>
          <w:color w:val="000000"/>
          <w:sz w:val="32"/>
          <w:szCs w:val="32"/>
        </w:rPr>
      </w:pPr>
      <w:r>
        <w:rPr>
          <w:rFonts w:hint="eastAsia" w:ascii="楷体_GB2312" w:hAnsi="楷体_GB2312" w:eastAsia="楷体_GB2312" w:cs="楷体_GB2312"/>
          <w:b/>
          <w:bCs/>
          <w:color w:val="000000"/>
          <w:sz w:val="32"/>
          <w:szCs w:val="32"/>
        </w:rPr>
        <w:t>（一）标准编制</w:t>
      </w:r>
      <w:r>
        <w:rPr>
          <w:rFonts w:hint="eastAsia" w:ascii="楷体_GB2312" w:hAnsi="楷体_GB2312" w:eastAsia="楷体_GB2312" w:cs="楷体_GB2312"/>
          <w:b/>
          <w:bCs/>
          <w:color w:val="000000"/>
          <w:sz w:val="32"/>
          <w:szCs w:val="32"/>
          <w:lang w:val="en-US" w:eastAsia="zh-CN"/>
        </w:rPr>
        <w:t>原则</w:t>
      </w:r>
    </w:p>
    <w:p>
      <w:pPr>
        <w:keepNext w:val="0"/>
        <w:keepLines w:val="0"/>
        <w:pageBreakBefore w:val="0"/>
        <w:numPr>
          <w:ilvl w:val="0"/>
          <w:numId w:val="0"/>
        </w:numPr>
        <w:kinsoku/>
        <w:wordWrap/>
        <w:overflowPunct w:val="0"/>
        <w:topLinePunct w:val="0"/>
        <w:autoSpaceDE w:val="0"/>
        <w:autoSpaceDN w:val="0"/>
        <w:bidi w:val="0"/>
        <w:adjustRightInd w:val="0"/>
        <w:snapToGrid w:val="0"/>
        <w:spacing w:line="560" w:lineRule="exact"/>
        <w:ind w:firstLine="643" w:firstLineChars="20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lang w:val="en-US" w:eastAsia="zh-CN"/>
        </w:rPr>
        <w:t>1、</w:t>
      </w:r>
      <w:r>
        <w:rPr>
          <w:rFonts w:hint="eastAsia" w:ascii="仿宋_GB2312" w:hAnsi="仿宋_GB2312" w:eastAsia="仿宋_GB2312" w:cs="仿宋_GB2312"/>
          <w:b/>
          <w:bCs/>
          <w:color w:val="000000"/>
          <w:sz w:val="32"/>
          <w:szCs w:val="32"/>
        </w:rPr>
        <w:t>严格遵照相关法律法规</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标准化工作项目组在标准的制定过程中，对国家相关法律法规以及相关部门规章进行了认真的研究和梳理，凡是法律法规有明确规定的，都遵照其相关规定。</w:t>
      </w:r>
    </w:p>
    <w:p>
      <w:pPr>
        <w:keepNext w:val="0"/>
        <w:keepLines w:val="0"/>
        <w:pageBreakBefore w:val="0"/>
        <w:numPr>
          <w:ilvl w:val="0"/>
          <w:numId w:val="0"/>
        </w:numPr>
        <w:kinsoku/>
        <w:wordWrap/>
        <w:overflowPunct w:val="0"/>
        <w:topLinePunct w:val="0"/>
        <w:autoSpaceDE w:val="0"/>
        <w:autoSpaceDN w:val="0"/>
        <w:bidi w:val="0"/>
        <w:adjustRightInd w:val="0"/>
        <w:snapToGrid w:val="0"/>
        <w:spacing w:line="560" w:lineRule="exact"/>
        <w:ind w:firstLine="643" w:firstLineChars="200"/>
        <w:textAlignment w:val="auto"/>
        <w:rPr>
          <w:rFonts w:hint="default"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2、</w:t>
      </w:r>
      <w:r>
        <w:rPr>
          <w:rFonts w:hint="default" w:ascii="仿宋_GB2312" w:hAnsi="仿宋_GB2312" w:eastAsia="仿宋_GB2312" w:cs="仿宋_GB2312"/>
          <w:b/>
          <w:bCs/>
          <w:color w:val="000000"/>
          <w:sz w:val="32"/>
          <w:szCs w:val="32"/>
          <w:lang w:val="en-US" w:eastAsia="zh-CN"/>
        </w:rPr>
        <w:t>充分吸收现有的成熟经验</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近年来，我国的</w:t>
      </w:r>
      <w:r>
        <w:rPr>
          <w:rFonts w:hint="eastAsia" w:ascii="Times New Roman" w:hAnsi="Times New Roman" w:eastAsia="仿宋_GB2312" w:cs="Times New Roman"/>
          <w:color w:val="000000"/>
          <w:sz w:val="32"/>
          <w:szCs w:val="32"/>
          <w:lang w:eastAsia="zh-CN"/>
        </w:rPr>
        <w:t>公共机构节能管理</w:t>
      </w:r>
      <w:r>
        <w:rPr>
          <w:rFonts w:hint="default" w:ascii="Times New Roman" w:hAnsi="Times New Roman" w:eastAsia="仿宋_GB2312" w:cs="Times New Roman"/>
          <w:color w:val="000000"/>
          <w:sz w:val="32"/>
          <w:szCs w:val="32"/>
        </w:rPr>
        <w:t>发展迅速，积累了大量的先进经验和做法。标准是最佳实践的总结，因此，在制定本标准时，项目组到实地充分调研、广泛收集相关素材，对标准草稿实施多轮修改，最大限度地将</w:t>
      </w:r>
      <w:r>
        <w:rPr>
          <w:rFonts w:hint="eastAsia" w:ascii="Times New Roman" w:hAnsi="Times New Roman" w:eastAsia="仿宋_GB2312" w:cs="Times New Roman"/>
          <w:color w:val="000000"/>
          <w:sz w:val="32"/>
          <w:szCs w:val="32"/>
          <w:lang w:eastAsia="zh-CN"/>
        </w:rPr>
        <w:t>公共机构节能</w:t>
      </w:r>
      <w:r>
        <w:rPr>
          <w:rFonts w:hint="default" w:ascii="Times New Roman" w:hAnsi="Times New Roman" w:eastAsia="仿宋_GB2312" w:cs="Times New Roman"/>
          <w:color w:val="000000"/>
          <w:sz w:val="32"/>
          <w:szCs w:val="32"/>
        </w:rPr>
        <w:t>的成熟经验吸纳进来。</w:t>
      </w:r>
    </w:p>
    <w:p>
      <w:pPr>
        <w:keepNext w:val="0"/>
        <w:keepLines w:val="0"/>
        <w:pageBreakBefore w:val="0"/>
        <w:numPr>
          <w:ilvl w:val="0"/>
          <w:numId w:val="0"/>
        </w:numPr>
        <w:kinsoku/>
        <w:wordWrap/>
        <w:overflowPunct w:val="0"/>
        <w:topLinePunct w:val="0"/>
        <w:autoSpaceDE w:val="0"/>
        <w:autoSpaceDN w:val="0"/>
        <w:bidi w:val="0"/>
        <w:adjustRightInd w:val="0"/>
        <w:snapToGrid w:val="0"/>
        <w:spacing w:line="560" w:lineRule="exact"/>
        <w:ind w:firstLine="643" w:firstLineChars="200"/>
        <w:textAlignment w:val="auto"/>
        <w:rPr>
          <w:rFonts w:hint="default"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3、</w:t>
      </w:r>
      <w:r>
        <w:rPr>
          <w:rFonts w:hint="default" w:ascii="仿宋_GB2312" w:hAnsi="仿宋_GB2312" w:eastAsia="仿宋_GB2312" w:cs="仿宋_GB2312"/>
          <w:b/>
          <w:bCs/>
          <w:color w:val="000000"/>
          <w:sz w:val="32"/>
          <w:szCs w:val="32"/>
          <w:lang w:val="en-US" w:eastAsia="zh-CN"/>
        </w:rPr>
        <w:t>增加和细化部分重要内容</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为了使标准更具有操作性，实用和适用性，在制定过程中，尽可能地对相关内容进行量化、细化和优化，对能够形成统一规范和明确的环节进行固化和强化。</w:t>
      </w:r>
    </w:p>
    <w:p>
      <w:pPr>
        <w:keepNext w:val="0"/>
        <w:keepLines w:val="0"/>
        <w:pageBreakBefore w:val="0"/>
        <w:numPr>
          <w:ilvl w:val="0"/>
          <w:numId w:val="0"/>
        </w:numPr>
        <w:kinsoku/>
        <w:wordWrap/>
        <w:overflowPunct w:val="0"/>
        <w:topLinePunct w:val="0"/>
        <w:autoSpaceDE w:val="0"/>
        <w:autoSpaceDN w:val="0"/>
        <w:bidi w:val="0"/>
        <w:adjustRightInd w:val="0"/>
        <w:snapToGrid w:val="0"/>
        <w:spacing w:line="560" w:lineRule="exact"/>
        <w:ind w:firstLine="643" w:firstLineChars="200"/>
        <w:textAlignment w:val="auto"/>
        <w:rPr>
          <w:rFonts w:hint="default" w:ascii="楷体_GB2312" w:hAnsi="楷体_GB2312" w:eastAsia="楷体_GB2312" w:cs="楷体_GB2312"/>
          <w:b/>
          <w:bCs/>
          <w:color w:val="000000"/>
          <w:sz w:val="32"/>
          <w:szCs w:val="32"/>
          <w:lang w:val="en-US" w:eastAsia="zh-CN"/>
        </w:rPr>
      </w:pPr>
      <w:r>
        <w:rPr>
          <w:rFonts w:hint="default" w:ascii="楷体_GB2312" w:hAnsi="楷体_GB2312" w:eastAsia="楷体_GB2312" w:cs="楷体_GB2312"/>
          <w:b/>
          <w:bCs/>
          <w:color w:val="000000"/>
          <w:sz w:val="32"/>
          <w:szCs w:val="32"/>
        </w:rPr>
        <w:t>（</w:t>
      </w:r>
      <w:r>
        <w:rPr>
          <w:rFonts w:hint="eastAsia" w:ascii="楷体_GB2312" w:hAnsi="楷体_GB2312" w:eastAsia="楷体_GB2312" w:cs="楷体_GB2312"/>
          <w:b/>
          <w:bCs/>
          <w:color w:val="000000"/>
          <w:sz w:val="32"/>
          <w:szCs w:val="32"/>
          <w:lang w:val="en-US" w:eastAsia="zh-CN"/>
        </w:rPr>
        <w:t>二</w:t>
      </w:r>
      <w:r>
        <w:rPr>
          <w:rFonts w:hint="default" w:ascii="楷体_GB2312" w:hAnsi="楷体_GB2312" w:eastAsia="楷体_GB2312" w:cs="楷体_GB2312"/>
          <w:b/>
          <w:bCs/>
          <w:color w:val="000000"/>
          <w:sz w:val="32"/>
          <w:szCs w:val="32"/>
        </w:rPr>
        <w:t>）标准</w:t>
      </w:r>
      <w:r>
        <w:rPr>
          <w:rFonts w:hint="eastAsia" w:ascii="楷体_GB2312" w:hAnsi="楷体_GB2312" w:eastAsia="楷体_GB2312" w:cs="楷体_GB2312"/>
          <w:b/>
          <w:bCs/>
          <w:color w:val="000000"/>
          <w:sz w:val="32"/>
          <w:szCs w:val="32"/>
          <w:lang w:val="en-US" w:eastAsia="zh-CN"/>
        </w:rPr>
        <w:t>编写的主要文献依据</w:t>
      </w:r>
    </w:p>
    <w:p>
      <w:pPr>
        <w:pStyle w:val="11"/>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（1）《机关事务管理条例》 国务院令第621号</w:t>
      </w:r>
    </w:p>
    <w:p>
      <w:pPr>
        <w:pStyle w:val="11"/>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（2）《公共机构节能条例》 国务院令第531号</w:t>
      </w:r>
    </w:p>
    <w:p>
      <w:pPr>
        <w:pStyle w:val="11"/>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（3）《党政机关厉行节约反对浪费条例》 中发【2013】13号</w:t>
      </w:r>
    </w:p>
    <w:p>
      <w:pPr>
        <w:pStyle w:val="11"/>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（4）《党政机关办公用房建设标准》 发改投资【2014】2674号</w:t>
      </w:r>
    </w:p>
    <w:p>
      <w:pPr>
        <w:pStyle w:val="11"/>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（5）《绿色生活创建行动总体方案》 发改环资【2019】1696号</w:t>
      </w:r>
    </w:p>
    <w:p>
      <w:pPr>
        <w:pStyle w:val="11"/>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（6）《关于做好公共机构生活垃圾分类近期重点工作的通知》 国管办发【2021】4号</w:t>
      </w:r>
    </w:p>
    <w:p>
      <w:pPr>
        <w:pStyle w:val="11"/>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（7）《关于印发“十四五”公共机构节约能源资源工作规划的通知》 国管节能【2021】195号</w:t>
      </w:r>
    </w:p>
    <w:p>
      <w:pPr>
        <w:pStyle w:val="11"/>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（8）《节约型公共机构示范单位及公共机构能效领跑者评价标准》 国管节能【2023】282号</w:t>
      </w:r>
    </w:p>
    <w:p>
      <w:pPr>
        <w:pStyle w:val="11"/>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（9）《深入开展公共机构绿色低碳引领行动促进碳达峰实施方案》 国管局 国家发展改革委 财政部 生态环境部印发</w:t>
      </w:r>
    </w:p>
    <w:p>
      <w:pPr>
        <w:pStyle w:val="11"/>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（10）《江苏省公共机构节能管理办法》江苏省人民政府令第58号</w:t>
      </w:r>
    </w:p>
    <w:p>
      <w:pPr>
        <w:pStyle w:val="11"/>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（11）《江苏省公共机构节约能源资源“十四五”规划》苏事管【2021】53号</w:t>
      </w:r>
    </w:p>
    <w:p>
      <w:pPr>
        <w:keepNext w:val="0"/>
        <w:keepLines w:val="0"/>
        <w:pageBreakBefore w:val="0"/>
        <w:numPr>
          <w:ilvl w:val="0"/>
          <w:numId w:val="0"/>
        </w:numPr>
        <w:kinsoku/>
        <w:wordWrap/>
        <w:overflowPunct w:val="0"/>
        <w:topLinePunct w:val="0"/>
        <w:autoSpaceDE w:val="0"/>
        <w:autoSpaceDN w:val="0"/>
        <w:bidi w:val="0"/>
        <w:adjustRightInd w:val="0"/>
        <w:snapToGrid w:val="0"/>
        <w:spacing w:line="560" w:lineRule="exact"/>
        <w:ind w:firstLine="643" w:firstLineChars="200"/>
        <w:textAlignment w:val="auto"/>
        <w:rPr>
          <w:rFonts w:hint="eastAsia" w:ascii="楷体_GB2312" w:hAnsi="楷体_GB2312" w:eastAsia="楷体_GB2312" w:cs="楷体_GB2312"/>
          <w:b/>
          <w:bCs/>
          <w:color w:val="000000"/>
          <w:sz w:val="32"/>
          <w:szCs w:val="32"/>
          <w:lang w:val="en-US" w:eastAsia="zh-CN"/>
        </w:rPr>
      </w:pPr>
      <w:r>
        <w:rPr>
          <w:rFonts w:hint="default" w:ascii="楷体_GB2312" w:hAnsi="楷体_GB2312" w:eastAsia="楷体_GB2312" w:cs="楷体_GB2312"/>
          <w:b/>
          <w:bCs/>
          <w:color w:val="000000"/>
          <w:sz w:val="32"/>
          <w:szCs w:val="32"/>
          <w:lang w:val="en-US" w:eastAsia="zh-CN"/>
        </w:rPr>
        <w:t>（</w:t>
      </w:r>
      <w:r>
        <w:rPr>
          <w:rFonts w:hint="eastAsia" w:ascii="楷体_GB2312" w:hAnsi="楷体_GB2312" w:eastAsia="楷体_GB2312" w:cs="楷体_GB2312"/>
          <w:b/>
          <w:bCs/>
          <w:color w:val="000000"/>
          <w:sz w:val="32"/>
          <w:szCs w:val="32"/>
          <w:lang w:val="en-US" w:eastAsia="zh-CN"/>
        </w:rPr>
        <w:t>三</w:t>
      </w:r>
      <w:r>
        <w:rPr>
          <w:rFonts w:hint="default" w:ascii="楷体_GB2312" w:hAnsi="楷体_GB2312" w:eastAsia="楷体_GB2312" w:cs="楷体_GB2312"/>
          <w:b/>
          <w:bCs/>
          <w:color w:val="000000"/>
          <w:sz w:val="32"/>
          <w:szCs w:val="32"/>
          <w:lang w:val="en-US" w:eastAsia="zh-CN"/>
        </w:rPr>
        <w:t>）</w:t>
      </w:r>
      <w:r>
        <w:rPr>
          <w:rFonts w:hint="eastAsia" w:ascii="楷体_GB2312" w:hAnsi="楷体_GB2312" w:eastAsia="楷体_GB2312" w:cs="楷体_GB2312"/>
          <w:b/>
          <w:bCs/>
          <w:color w:val="000000"/>
          <w:sz w:val="32"/>
          <w:szCs w:val="32"/>
          <w:lang w:val="en-US" w:eastAsia="zh-CN"/>
        </w:rPr>
        <w:t>主要技术内容</w:t>
      </w:r>
    </w:p>
    <w:p>
      <w:pPr>
        <w:pStyle w:val="12"/>
        <w:keepNext w:val="0"/>
        <w:keepLines w:val="0"/>
        <w:pageBreakBefore w:val="0"/>
        <w:kinsoku/>
        <w:wordWrap/>
        <w:topLinePunct w:val="0"/>
        <w:autoSpaceDE w:val="0"/>
        <w:autoSpaceDN w:val="0"/>
        <w:bidi w:val="0"/>
        <w:spacing w:line="560" w:lineRule="exact"/>
        <w:ind w:firstLine="420"/>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本文件规定了公共机构绿色办公区机构管理、绿色设施与环境、运行管理、绿色文化、监督与改进等方面的内容。</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本文件适用于江苏省各级公共机构办公区绿色化管理。</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标准的具体内容说明如下。</w:t>
      </w:r>
    </w:p>
    <w:p>
      <w:pPr>
        <w:keepNext w:val="0"/>
        <w:keepLines w:val="0"/>
        <w:pageBreakBefore w:val="0"/>
        <w:kinsoku/>
        <w:wordWrap/>
        <w:overflowPunct w:val="0"/>
        <w:topLinePunct w:val="0"/>
        <w:autoSpaceDE w:val="0"/>
        <w:autoSpaceDN w:val="0"/>
        <w:bidi w:val="0"/>
        <w:adjustRightInd w:val="0"/>
        <w:snapToGrid w:val="0"/>
        <w:spacing w:line="560" w:lineRule="exact"/>
        <w:ind w:firstLine="643" w:firstLineChars="200"/>
        <w:textAlignment w:val="auto"/>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1.术语和定义</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该章节对标准中涉及的公共机构、</w:t>
      </w:r>
      <w:r>
        <w:rPr>
          <w:rFonts w:hint="eastAsia" w:ascii="Times New Roman" w:hAnsi="Times New Roman" w:eastAsia="仿宋_GB2312" w:cs="Times New Roman"/>
          <w:color w:val="000000"/>
          <w:kern w:val="2"/>
          <w:sz w:val="32"/>
          <w:szCs w:val="32"/>
          <w:lang w:val="en-US" w:eastAsia="zh-CN" w:bidi="ar-SA"/>
        </w:rPr>
        <w:t>绿色办公区</w:t>
      </w:r>
      <w:r>
        <w:rPr>
          <w:rFonts w:hint="default" w:ascii="Times New Roman" w:hAnsi="Times New Roman" w:eastAsia="仿宋_GB2312" w:cs="Times New Roman"/>
          <w:color w:val="000000"/>
          <w:kern w:val="2"/>
          <w:sz w:val="32"/>
          <w:szCs w:val="32"/>
          <w:lang w:val="en-US" w:eastAsia="zh-CN" w:bidi="ar-SA"/>
        </w:rPr>
        <w:t>给出了界定，其中公共机构的界定与现有国标</w:t>
      </w:r>
      <w:r>
        <w:rPr>
          <w:rFonts w:hint="eastAsia" w:ascii="Times New Roman" w:hAnsi="Times New Roman" w:eastAsia="仿宋_GB2312" w:cs="Times New Roman"/>
          <w:color w:val="000000"/>
          <w:kern w:val="2"/>
          <w:sz w:val="32"/>
          <w:szCs w:val="32"/>
          <w:lang w:val="en-US" w:eastAsia="zh-CN" w:bidi="ar-SA"/>
        </w:rPr>
        <w:t>《机关事务管理 术语》（GB/T 41568）</w:t>
      </w:r>
      <w:r>
        <w:rPr>
          <w:rFonts w:hint="default" w:ascii="Times New Roman" w:hAnsi="Times New Roman" w:eastAsia="仿宋_GB2312" w:cs="Times New Roman"/>
          <w:color w:val="000000"/>
          <w:kern w:val="2"/>
          <w:sz w:val="32"/>
          <w:szCs w:val="32"/>
          <w:lang w:val="en-US" w:eastAsia="zh-CN" w:bidi="ar-SA"/>
        </w:rPr>
        <w:t>一致。</w:t>
      </w:r>
      <w:r>
        <w:rPr>
          <w:rFonts w:hint="eastAsia" w:ascii="Times New Roman" w:hAnsi="Times New Roman" w:eastAsia="仿宋_GB2312" w:cs="Times New Roman"/>
          <w:color w:val="000000"/>
          <w:kern w:val="2"/>
          <w:sz w:val="32"/>
          <w:szCs w:val="32"/>
          <w:lang w:val="en-US" w:eastAsia="zh-CN" w:bidi="ar-SA"/>
        </w:rPr>
        <w:t>绿色办公区根据中央和全省关于绿色发展和绿色办公的文件精神来进行定义</w:t>
      </w:r>
      <w:r>
        <w:rPr>
          <w:rFonts w:hint="default" w:ascii="Times New Roman" w:hAnsi="Times New Roman" w:eastAsia="仿宋_GB2312" w:cs="Times New Roman"/>
          <w:color w:val="000000"/>
          <w:kern w:val="2"/>
          <w:sz w:val="32"/>
          <w:szCs w:val="32"/>
          <w:lang w:val="en-US" w:eastAsia="zh-CN" w:bidi="ar-SA"/>
        </w:rPr>
        <w:t>。</w:t>
      </w:r>
    </w:p>
    <w:p>
      <w:pPr>
        <w:keepNext w:val="0"/>
        <w:keepLines w:val="0"/>
        <w:pageBreakBefore w:val="0"/>
        <w:kinsoku/>
        <w:wordWrap/>
        <w:overflowPunct w:val="0"/>
        <w:topLinePunct w:val="0"/>
        <w:autoSpaceDE w:val="0"/>
        <w:autoSpaceDN w:val="0"/>
        <w:bidi w:val="0"/>
        <w:adjustRightInd w:val="0"/>
        <w:snapToGrid w:val="0"/>
        <w:spacing w:line="560" w:lineRule="exact"/>
        <w:ind w:firstLine="643" w:firstLineChars="200"/>
        <w:textAlignment w:val="auto"/>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2.机构管理</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黑体"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该章节从组织管理和制度管理两个方面进行了规定。</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组织管理中，对于绿色办公区管理机构、管理岗位和志愿者队伍的规定主要来源于国管局《节约型公共机构示范单位评价标准》的相关要求，对公共机构能源管理体系的规定主要参考了标准《公共机构能源管理体系实施指南》（GB/T 32019）。</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制度管理中，绿色办公区建设规划、实施方案、目标任务、责任制度和考核办法等要求是公共机构节能管理的重要一环，在标准中进行了规定。建立节约能源资源等管理制度的要求主要来源于《公共机构办公区节能运行管理规范》（GB/T 36710）和国家对于公共机构节能管理相关文件规定要求。分项计量是公共机构节能管理的重要一环，标准条款中对分项计量的规定主要依据《公共机构能源资源计量器具配备和管理要求》（GB/T 29149）。能源资源节约监管平台有利于加强节能管理，依据《节约型公共机构示范单位评价标准》进行了相应的要求。能源审计是公共机构节能改造的关键步骤，开展能源资源审计可以使公共机构及时分析掌握本单位能源资源管理水平，排查问题和薄弱环节，挖掘节能潜力，所以对开展能源审计进行了要求。</w:t>
      </w:r>
    </w:p>
    <w:p>
      <w:pPr>
        <w:keepNext w:val="0"/>
        <w:keepLines w:val="0"/>
        <w:pageBreakBefore w:val="0"/>
        <w:kinsoku/>
        <w:wordWrap/>
        <w:overflowPunct w:val="0"/>
        <w:topLinePunct w:val="0"/>
        <w:autoSpaceDE w:val="0"/>
        <w:autoSpaceDN w:val="0"/>
        <w:bidi w:val="0"/>
        <w:adjustRightInd w:val="0"/>
        <w:snapToGrid w:val="0"/>
        <w:spacing w:line="560" w:lineRule="exact"/>
        <w:ind w:firstLine="643" w:firstLineChars="200"/>
        <w:textAlignment w:val="auto"/>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3.绿色设施与环境</w:t>
      </w:r>
    </w:p>
    <w:p>
      <w:pPr>
        <w:pStyle w:val="11"/>
        <w:keepNext w:val="0"/>
        <w:keepLines w:val="0"/>
        <w:pageBreakBefore w:val="0"/>
        <w:kinsoku/>
        <w:wordWrap/>
        <w:topLinePunct w:val="0"/>
        <w:autoSpaceDE w:val="0"/>
        <w:autoSpaceDN w:val="0"/>
        <w:bidi w:val="0"/>
        <w:spacing w:line="560" w:lineRule="exact"/>
        <w:ind w:firstLine="640" w:firstLineChars="200"/>
        <w:textAlignment w:val="auto"/>
        <w:outlineLvl w:val="0"/>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该章节从绿色建筑、围护结构、暖通空调系统、给水排水、 照明与电气、数据中心、新能源利用、绿色环境等角度，分别列出公共机构节能管理的规定事项和依据规范，涵盖公共机构设施与环境全部环节。其中：</w:t>
      </w:r>
    </w:p>
    <w:p>
      <w:pPr>
        <w:pStyle w:val="11"/>
        <w:keepNext w:val="0"/>
        <w:keepLines w:val="0"/>
        <w:pageBreakBefore w:val="0"/>
        <w:kinsoku/>
        <w:wordWrap/>
        <w:topLinePunct w:val="0"/>
        <w:autoSpaceDE w:val="0"/>
        <w:autoSpaceDN w:val="0"/>
        <w:bidi w:val="0"/>
        <w:spacing w:line="560" w:lineRule="exact"/>
        <w:ind w:firstLine="640" w:firstLineChars="200"/>
        <w:textAlignment w:val="auto"/>
        <w:outlineLvl w:val="0"/>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绿色建筑创建是根据《公共机构绿色低碳引领行动促进碳达峰实施方案》要求，依据《绿色建筑评价标准》（GB/T 50378）进行开展。既有建筑绿色化改造依据《既有建筑绿色改造评价标准》（GB/T 50378），同时对节能改造中的先进技术，可再生能源、非常规水资源使用进行了规定。围护结构依据《建筑节能与可再生能源利用通用规范》（GB/T 55015），对热工性能、建筑外墙、屋面保温隔热措施、节能门窗、遮阳设施等进行了规定。</w:t>
      </w:r>
    </w:p>
    <w:p>
      <w:pPr>
        <w:pStyle w:val="11"/>
        <w:keepNext w:val="0"/>
        <w:keepLines w:val="0"/>
        <w:pageBreakBefore w:val="0"/>
        <w:kinsoku/>
        <w:wordWrap/>
        <w:topLinePunct w:val="0"/>
        <w:autoSpaceDE w:val="0"/>
        <w:autoSpaceDN w:val="0"/>
        <w:bidi w:val="0"/>
        <w:spacing w:line="560" w:lineRule="exact"/>
        <w:ind w:firstLine="640" w:firstLineChars="200"/>
        <w:textAlignment w:val="auto"/>
        <w:outlineLvl w:val="0"/>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暖通空调系统依据《公共建筑节能设计标准》（GB 50189）对热源、冷源、排风热回收装置等进行了规定和要求。</w:t>
      </w:r>
    </w:p>
    <w:p>
      <w:pPr>
        <w:pStyle w:val="11"/>
        <w:keepNext w:val="0"/>
        <w:keepLines w:val="0"/>
        <w:pageBreakBefore w:val="0"/>
        <w:kinsoku/>
        <w:wordWrap/>
        <w:topLinePunct w:val="0"/>
        <w:autoSpaceDE w:val="0"/>
        <w:autoSpaceDN w:val="0"/>
        <w:bidi w:val="0"/>
        <w:spacing w:line="560" w:lineRule="exact"/>
        <w:ind w:firstLine="640" w:firstLineChars="200"/>
        <w:textAlignment w:val="auto"/>
        <w:outlineLvl w:val="0"/>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给水排水依据《公共建筑节能设计标准》（GB 50189）对给水排水系统的节水设计进行了规定和要求，同时涵盖了节水型卫生器具、信息化系统、水封、灌溉、透水铺装、再生水利用系统、雨水集蓄设施等方面的要求。</w:t>
      </w:r>
    </w:p>
    <w:p>
      <w:pPr>
        <w:pStyle w:val="11"/>
        <w:keepNext w:val="0"/>
        <w:keepLines w:val="0"/>
        <w:pageBreakBefore w:val="0"/>
        <w:kinsoku/>
        <w:wordWrap/>
        <w:topLinePunct w:val="0"/>
        <w:autoSpaceDE w:val="0"/>
        <w:autoSpaceDN w:val="0"/>
        <w:bidi w:val="0"/>
        <w:spacing w:line="560" w:lineRule="exact"/>
        <w:ind w:firstLine="640" w:firstLineChars="200"/>
        <w:textAlignment w:val="auto"/>
        <w:outlineLvl w:val="0"/>
        <w:rPr>
          <w:rFonts w:hint="eastAsia"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 xml:space="preserve"> 照明与电气</w:t>
      </w:r>
      <w:r>
        <w:rPr>
          <w:rFonts w:hint="eastAsia" w:ascii="Times New Roman" w:hAnsi="Times New Roman" w:eastAsia="仿宋_GB2312" w:cs="Times New Roman"/>
          <w:color w:val="000000"/>
          <w:kern w:val="2"/>
          <w:sz w:val="32"/>
          <w:szCs w:val="32"/>
          <w:lang w:val="en-US" w:eastAsia="zh-CN" w:bidi="ar-SA"/>
        </w:rPr>
        <w:t>根据节能场景，按《公共机构办公区节能运行管理规范》（GB/T 36710）的相关规定对照明、采光、电梯能效等级、环保餐饮设备等做出了要求。</w:t>
      </w:r>
    </w:p>
    <w:p>
      <w:pPr>
        <w:pStyle w:val="11"/>
        <w:keepNext w:val="0"/>
        <w:keepLines w:val="0"/>
        <w:pageBreakBefore w:val="0"/>
        <w:kinsoku/>
        <w:wordWrap/>
        <w:topLinePunct w:val="0"/>
        <w:autoSpaceDE w:val="0"/>
        <w:autoSpaceDN w:val="0"/>
        <w:bidi w:val="0"/>
        <w:spacing w:line="560" w:lineRule="exact"/>
        <w:ind w:firstLine="640" w:firstLineChars="200"/>
        <w:textAlignment w:val="auto"/>
        <w:outlineLvl w:val="0"/>
        <w:rPr>
          <w:rFonts w:hint="eastAsia"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 xml:space="preserve"> 数据中心</w:t>
      </w:r>
      <w:r>
        <w:rPr>
          <w:rFonts w:hint="eastAsia" w:ascii="Times New Roman" w:hAnsi="Times New Roman" w:eastAsia="仿宋_GB2312" w:cs="Times New Roman"/>
          <w:color w:val="000000"/>
          <w:kern w:val="2"/>
          <w:sz w:val="32"/>
          <w:szCs w:val="32"/>
          <w:lang w:val="en-US" w:eastAsia="zh-CN" w:bidi="ar-SA"/>
        </w:rPr>
        <w:t>的要求结合了国家文件的相关要求，对节能设备、分项计量、分项统计分析、平均电能使用效率等进行了规定。</w:t>
      </w:r>
    </w:p>
    <w:p>
      <w:pPr>
        <w:pStyle w:val="11"/>
        <w:keepNext w:val="0"/>
        <w:keepLines w:val="0"/>
        <w:pageBreakBefore w:val="0"/>
        <w:kinsoku/>
        <w:wordWrap/>
        <w:topLinePunct w:val="0"/>
        <w:autoSpaceDE w:val="0"/>
        <w:autoSpaceDN w:val="0"/>
        <w:bidi w:val="0"/>
        <w:spacing w:line="560" w:lineRule="exact"/>
        <w:ind w:firstLine="640" w:firstLineChars="200"/>
        <w:textAlignment w:val="auto"/>
        <w:outlineLvl w:val="0"/>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新能源利用规定了可再生能源、分布式光伏、新能源充电桩等方面的要求。</w:t>
      </w:r>
    </w:p>
    <w:p>
      <w:pPr>
        <w:pStyle w:val="11"/>
        <w:keepNext w:val="0"/>
        <w:keepLines w:val="0"/>
        <w:pageBreakBefore w:val="0"/>
        <w:kinsoku/>
        <w:wordWrap/>
        <w:topLinePunct w:val="0"/>
        <w:autoSpaceDE w:val="0"/>
        <w:autoSpaceDN w:val="0"/>
        <w:bidi w:val="0"/>
        <w:spacing w:line="560" w:lineRule="exact"/>
        <w:ind w:firstLine="640" w:firstLineChars="200"/>
        <w:textAlignment w:val="auto"/>
        <w:outlineLvl w:val="0"/>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绿色环境根据《建筑照明设计标准》（GB 50034）《民用建筑隔声设计规范》（GB 50118）等标准对采光、空气、噪声进行了相应的规定。</w:t>
      </w:r>
    </w:p>
    <w:p>
      <w:pPr>
        <w:keepNext w:val="0"/>
        <w:keepLines w:val="0"/>
        <w:pageBreakBefore w:val="0"/>
        <w:kinsoku/>
        <w:wordWrap/>
        <w:overflowPunct w:val="0"/>
        <w:topLinePunct w:val="0"/>
        <w:autoSpaceDE w:val="0"/>
        <w:autoSpaceDN w:val="0"/>
        <w:bidi w:val="0"/>
        <w:adjustRightInd w:val="0"/>
        <w:snapToGrid w:val="0"/>
        <w:spacing w:line="560" w:lineRule="exact"/>
        <w:ind w:firstLine="643" w:firstLineChars="200"/>
        <w:textAlignment w:val="auto"/>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4.运行管理</w:t>
      </w:r>
    </w:p>
    <w:p>
      <w:pPr>
        <w:pStyle w:val="11"/>
        <w:keepNext w:val="0"/>
        <w:keepLines w:val="0"/>
        <w:pageBreakBefore w:val="0"/>
        <w:kinsoku/>
        <w:wordWrap/>
        <w:topLinePunct w:val="0"/>
        <w:autoSpaceDE w:val="0"/>
        <w:autoSpaceDN w:val="0"/>
        <w:bidi w:val="0"/>
        <w:spacing w:line="560" w:lineRule="exact"/>
        <w:ind w:firstLine="640" w:firstLineChars="200"/>
        <w:textAlignment w:val="auto"/>
        <w:outlineLvl w:val="0"/>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目标要求方面，绿色办公区节能运行管理应符合《公共机构办公区节能运行管理规范》（GB/T 36710）的规定，而绿色办公区内单位建筑面积能耗、人均综合能耗，是对照DB32/T 4001进行规定，人均用水量根据江苏省服务业和生活用水定额标准进行规定。</w:t>
      </w:r>
    </w:p>
    <w:p>
      <w:pPr>
        <w:pStyle w:val="11"/>
        <w:keepNext w:val="0"/>
        <w:keepLines w:val="0"/>
        <w:pageBreakBefore w:val="0"/>
        <w:kinsoku/>
        <w:wordWrap/>
        <w:topLinePunct w:val="0"/>
        <w:autoSpaceDE w:val="0"/>
        <w:autoSpaceDN w:val="0"/>
        <w:bidi w:val="0"/>
        <w:spacing w:line="560" w:lineRule="exact"/>
        <w:ind w:firstLine="640" w:firstLineChars="200"/>
        <w:textAlignment w:val="auto"/>
        <w:outlineLvl w:val="0"/>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采购方面依据现行的文件对节能环保产品采购、推广使用高效节能型新产品、新技术等进行了规定。</w:t>
      </w:r>
    </w:p>
    <w:p>
      <w:pPr>
        <w:pStyle w:val="11"/>
        <w:keepNext w:val="0"/>
        <w:keepLines w:val="0"/>
        <w:pageBreakBefore w:val="0"/>
        <w:kinsoku/>
        <w:wordWrap/>
        <w:topLinePunct w:val="0"/>
        <w:autoSpaceDE w:val="0"/>
        <w:autoSpaceDN w:val="0"/>
        <w:bidi w:val="0"/>
        <w:spacing w:line="560" w:lineRule="exact"/>
        <w:ind w:firstLine="640" w:firstLineChars="200"/>
        <w:textAlignment w:val="auto"/>
        <w:outlineLvl w:val="0"/>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固定资产包括了用房和用车，办公用房使用应符合党政机关办公用房管理规定，同时对规范集约使用办公用房和土地及公务仓提出了要求。用车方面对使用新能源公务用车、单车能耗核算和应用信息化手段管理公务用车进行了规定。</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节能对用电、用水、办公、会议、环境、绿化、出行、垃圾处理、反食品浪费进行了规定，用电方面根据相关文件作出夏季室内温度设定应不低于26℃、冬季室内温度设定等要求，依据《公共机构节水管理规范》（GB/T 37813）等要求进行节水管理，根据《垃圾分类管理办法》和GB/T 19095《生活垃圾分类标志》开展垃圾分类管理，根据《机关食堂反食品浪费工作指南》（GB/T 42967）开展反食品浪费管理。</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line="560" w:lineRule="exact"/>
        <w:ind w:firstLine="643" w:firstLineChars="200"/>
        <w:textAlignment w:val="auto"/>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5.绿色文化</w:t>
      </w:r>
    </w:p>
    <w:p>
      <w:pPr>
        <w:keepNext w:val="0"/>
        <w:keepLines w:val="0"/>
        <w:pageBreakBefore w:val="0"/>
        <w:numPr>
          <w:ilvl w:val="0"/>
          <w:numId w:val="0"/>
        </w:numPr>
        <w:kinsoku/>
        <w:wordWrap/>
        <w:overflowPunct w:val="0"/>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从培养绿色观念、开展主题宣传活动、举办培训讲座、张贴标识标语等方面做出了要求，从而推动绿色办公区管理水平。</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line="560" w:lineRule="exact"/>
        <w:ind w:firstLine="643" w:firstLineChars="200"/>
        <w:textAlignment w:val="auto"/>
        <w:rPr>
          <w:rFonts w:hint="eastAsia" w:ascii="Times New Roman" w:hAnsi="Times New Roman" w:eastAsia="仿宋_GB2312" w:cs="Times New Roman"/>
          <w:b/>
          <w:bCs/>
          <w:color w:val="000000"/>
          <w:kern w:val="2"/>
          <w:sz w:val="32"/>
          <w:szCs w:val="32"/>
          <w:lang w:val="en-US" w:eastAsia="zh-CN" w:bidi="ar-SA"/>
        </w:rPr>
      </w:pPr>
      <w:r>
        <w:rPr>
          <w:rFonts w:hint="eastAsia" w:ascii="Times New Roman" w:hAnsi="Times New Roman" w:eastAsia="仿宋_GB2312" w:cs="Times New Roman"/>
          <w:b/>
          <w:bCs/>
          <w:color w:val="000000"/>
          <w:kern w:val="2"/>
          <w:sz w:val="32"/>
          <w:szCs w:val="32"/>
          <w:lang w:val="en-US" w:eastAsia="zh-CN" w:bidi="ar-SA"/>
        </w:rPr>
        <w:t>6.监督与改进</w:t>
      </w:r>
    </w:p>
    <w:p>
      <w:pPr>
        <w:keepNext w:val="0"/>
        <w:keepLines w:val="0"/>
        <w:pageBreakBefore w:val="0"/>
        <w:numPr>
          <w:ilvl w:val="0"/>
          <w:numId w:val="0"/>
        </w:numPr>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规定了监督的形式、监督内容、改进的机制等方面的内容，为绿色办公区管理提供全面的保障。</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黑体" w:cs="Times New Roman"/>
          <w:color w:val="000000"/>
          <w:sz w:val="32"/>
          <w:szCs w:val="32"/>
          <w:lang w:val="en-US" w:eastAsia="zh-CN"/>
        </w:rPr>
        <w:t>四</w:t>
      </w:r>
      <w:r>
        <w:rPr>
          <w:rFonts w:hint="default" w:ascii="Times New Roman" w:hAnsi="Times New Roman" w:eastAsia="黑体" w:cs="Times New Roman"/>
          <w:color w:val="000000"/>
          <w:sz w:val="32"/>
          <w:szCs w:val="32"/>
        </w:rPr>
        <w:t>、与现行相关法律、行政法规和其他标准的关系</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（1）与该标准主要相关的国家标准为《公共机构办公区节能运行管理规范》(GB/T 36710)和《公共机构节水管理规范》(GB/T 37813)，两项国标中前者侧重在建筑交付和用能系统要求上，后者侧重在与用水相关的全流程管理，重点在于各用水系统的具体要求。本标准还引用了计量、能源管理体系、能耗定额、绿色建筑、数据中心、垃圾分类、反食品浪费等方面的国家标准。</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（2）本标准作为江苏省地方标准，是在遵守GB/T36710、GB/T 37813等相关规定的基础上，结合江苏实际和行业最新发展现状制定。本标准直接引用了国标中已经界定的条款，并增加了行业新增相关技术要求。</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同时，本标准针对公共机构办公区绿色管理全生命周期管理提出要求，涵盖组织与制度、绿色建筑、设备设施、绿色环境、数据中心，对用房用车、节电节水管理、垃圾分类、反食品浪费等各方面提出要求，填补了现有标准的空白，针对新能源应用等方面也提出了要求。</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没有与本标准相关联的强制性国家标准。</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本标准符合现行法律法规、政策文件的要求。</w:t>
      </w:r>
    </w:p>
    <w:p>
      <w:pPr>
        <w:keepNext w:val="0"/>
        <w:keepLines w:val="0"/>
        <w:pageBreakBefore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五、重大分歧意见的处理过程、处理意见及其依据</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本文件遵循了各方参与原则，制定时充分吸收了相关领域专家的意见，无重大分歧意见。</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六、对地方标准自发布日期至实施日期之间的过渡期(以下简称“过渡期”)的建议及理由</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建议过渡期是1个月。</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公共机构节能管理部门、各级公共机构以及相关方是标准实施的主体，为确保其准确理解、掌握和执行标准，建议标准发布后，针对公共机构管理部门和公共机构有侧重的进行培训和宣传推动标准落地实施。</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auto"/>
        <w:rPr>
          <w:rFonts w:hint="eastAsia"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rPr>
        <w:t>七、实施效益分析</w:t>
      </w:r>
    </w:p>
    <w:p>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本标准对于江苏省公共机构进行绿色办公区管理具有重要的指导意义。标准技术指标先进合理，紧扣国家和江苏省有关政策文件要求，符合江苏省公共机构办公区管理现状，能够有效指导各类公共机构有针对性的开展节能工作，为江苏省公共机构节能提供标准化支撑。</w:t>
      </w:r>
    </w:p>
    <w:sectPr>
      <w:footerReference r:id="rId3" w:type="default"/>
      <w:pgSz w:w="11906" w:h="16838"/>
      <w:pgMar w:top="2098" w:right="1531" w:bottom="1985" w:left="1531" w:header="720" w:footer="147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95956"/>
      <w:docPartObj>
        <w:docPartGallery w:val="autotext"/>
      </w:docPartObj>
    </w:sdtPr>
    <w:sdtContent>
      <w:p>
        <w:pPr>
          <w:pStyle w:val="3"/>
          <w:jc w:val="cente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6</w:t>
        </w:r>
        <w:r>
          <w:rPr>
            <w:rFonts w:ascii="Times New Roman" w:hAnsi="Times New Roman" w:cs="Times New Roman"/>
            <w:sz w:val="28"/>
            <w:szCs w:val="28"/>
          </w:rPr>
          <w:fldChar w:fldCharType="end"/>
        </w:r>
        <w:r>
          <w:rPr>
            <w:rFonts w:hint="eastAsia" w:ascii="Times New Roman" w:hAnsi="Times New Roman" w:cs="Times New Roman"/>
            <w:sz w:val="28"/>
            <w:szCs w:val="28"/>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NGM3MWRlNDk0NTQ2NmRjNjcwYTU5ZjEwNTVjNjMifQ=="/>
  </w:docVars>
  <w:rsids>
    <w:rsidRoot w:val="30BC5561"/>
    <w:rsid w:val="007701AC"/>
    <w:rsid w:val="0094080A"/>
    <w:rsid w:val="00C76FC7"/>
    <w:rsid w:val="00CF67DF"/>
    <w:rsid w:val="127952CC"/>
    <w:rsid w:val="16197DEA"/>
    <w:rsid w:val="1BFE3016"/>
    <w:rsid w:val="262B30D0"/>
    <w:rsid w:val="299B6790"/>
    <w:rsid w:val="2A36089B"/>
    <w:rsid w:val="2F8152A6"/>
    <w:rsid w:val="30BC5561"/>
    <w:rsid w:val="33A36071"/>
    <w:rsid w:val="357C3D2F"/>
    <w:rsid w:val="3A415CE7"/>
    <w:rsid w:val="3B890CD1"/>
    <w:rsid w:val="42F205FF"/>
    <w:rsid w:val="45AA2E03"/>
    <w:rsid w:val="47266F0E"/>
    <w:rsid w:val="4828755E"/>
    <w:rsid w:val="4A4358BB"/>
    <w:rsid w:val="4AB82901"/>
    <w:rsid w:val="56C87677"/>
    <w:rsid w:val="5EDB0516"/>
    <w:rsid w:val="5F394374"/>
    <w:rsid w:val="632C77B7"/>
    <w:rsid w:val="6B8E423E"/>
    <w:rsid w:val="6C3C3948"/>
    <w:rsid w:val="7493782F"/>
    <w:rsid w:val="74963716"/>
    <w:rsid w:val="78AF1050"/>
    <w:rsid w:val="79733540"/>
    <w:rsid w:val="7C546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rPr>
  </w:style>
  <w:style w:type="character" w:styleId="8">
    <w:name w:val="Emphasis"/>
    <w:basedOn w:val="6"/>
    <w:qFormat/>
    <w:uiPriority w:val="0"/>
    <w:rPr>
      <w:i/>
    </w:rPr>
  </w:style>
  <w:style w:type="character" w:customStyle="1" w:styleId="9">
    <w:name w:val="页眉 Char"/>
    <w:basedOn w:val="6"/>
    <w:link w:val="4"/>
    <w:qFormat/>
    <w:uiPriority w:val="0"/>
    <w:rPr>
      <w:rFonts w:asciiTheme="minorHAnsi" w:hAnsiTheme="minorHAnsi" w:eastAsiaTheme="minorEastAsia" w:cstheme="minorBidi"/>
      <w:kern w:val="2"/>
      <w:sz w:val="18"/>
      <w:szCs w:val="18"/>
    </w:rPr>
  </w:style>
  <w:style w:type="character" w:customStyle="1" w:styleId="10">
    <w:name w:val="页脚 Char"/>
    <w:basedOn w:val="6"/>
    <w:link w:val="3"/>
    <w:qFormat/>
    <w:uiPriority w:val="99"/>
    <w:rPr>
      <w:rFonts w:asciiTheme="minorHAnsi" w:hAnsiTheme="minorHAnsi" w:eastAsiaTheme="minorEastAsia" w:cstheme="minorBidi"/>
      <w:kern w:val="2"/>
      <w:sz w:val="18"/>
      <w:szCs w:val="18"/>
    </w:r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4405</Words>
  <Characters>4628</Characters>
  <Lines>20</Lines>
  <Paragraphs>5</Paragraphs>
  <TotalTime>0</TotalTime>
  <ScaleCrop>false</ScaleCrop>
  <LinksUpToDate>false</LinksUpToDate>
  <CharactersWithSpaces>4671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2020-02-17T03:18:00Z</dcterms:created>
  <dc:creator>奔奔2002</dc:creator>
  <cp:lastModifiedBy>奔奔一家</cp:lastModifiedBy>
  <dcterms:modified xsi:type="dcterms:W3CDTF">2024-10-17T08:34:39Z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4E1806D90E4A463FA14972D3B91D700F_13</vt:lpwstr>
  </property>
</Properties>
</file>